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23A" w:rsidRPr="00DC423A" w:rsidRDefault="00DC423A" w:rsidP="00DC423A">
      <w:pPr>
        <w:shd w:val="clear" w:color="auto" w:fill="F3F5FC"/>
        <w:spacing w:after="0" w:line="315" w:lineRule="atLeast"/>
        <w:ind w:left="105" w:right="105" w:firstLine="375"/>
        <w:jc w:val="center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DC423A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  <w:lang w:eastAsia="ru-RU"/>
        </w:rPr>
        <w:t>Межрайонная ИФНС России № 16 по Иркутской области  разъясняет, в каких случаях теплицы и другие хозпостройки физических лиц облагаются налогом</w:t>
      </w:r>
    </w:p>
    <w:p w:rsidR="00DC423A" w:rsidRPr="00DC423A" w:rsidRDefault="00DC423A" w:rsidP="00DC423A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DC423A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DC423A" w:rsidRPr="00DC423A" w:rsidRDefault="00DC423A" w:rsidP="00DC423A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DC423A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В соответствии с положениями статьи 400, пункта 2 статьи 408 Налогового кодекса Российской Федерации (далее – Налоговый кодекс) налогом на имущество физических лиц (далее – налог) облагаются только те хозяйственные постройки, сведения о которых представлены в налоговые органы органами Росреестра из Единого государственного реестра недвижимости (далее – ЕГРН) или были представлены в налоговые органы из БТИ.</w:t>
      </w:r>
    </w:p>
    <w:p w:rsidR="00DC423A" w:rsidRPr="00DC423A" w:rsidRDefault="00DC423A" w:rsidP="00DC423A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DC423A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В число хозпостроек могут входить хозяйственные, бытовые, подсобные капитальные строения, вспомогательные сооружения, в том числе летние кухни, бани и иные аналогичные объекты недвижимости. Жилые помещения и гаражи не являются хозпостройками и облагаются налогом как самостоятельная недвижимость (разъяснения Минфина России от 16.05.2017 № 03-05-04-01/29325 доведены до налоговых органов письмом ФНС России от 17.05.2017 № БС-4-21/9186@).</w:t>
      </w:r>
    </w:p>
    <w:p w:rsidR="00DC423A" w:rsidRPr="00DC423A" w:rsidRDefault="00DC423A" w:rsidP="00DC423A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DC423A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Владелец хозпостройки сам определяет, нужно ему обращаться в органы Росреестра для ее регистрации в качестве недвижимости в ЕГРН или нет. Для внесения в ЕГРН хозпостройка должна отвечать признакам недвижимости: быть прочно связана с землей, а ее перемещение без несоразмерного ущерба ее назначению невозможно (пункт 1 статьи 130 Гражданского кодекса Российской Федерации)осисийской Федерации).</w:t>
      </w:r>
    </w:p>
    <w:p w:rsidR="00DC423A" w:rsidRPr="00DC423A" w:rsidRDefault="00DC423A" w:rsidP="00DC423A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DC423A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Хозпостройки, которые не относятся к недвижимости, а также объекты движимого имущества в ЕГРН не регистрируются (статья 131 Гражданского кодекса Российской Федерации) и вышеуказанным налогом не облагаются. Речь идет, в частности, о не имеющих капитального фундамента теплицах, сборно-разборных хозблоках, бытовках, навесах, некапитальных временных строениях и т.п.</w:t>
      </w:r>
    </w:p>
    <w:p w:rsidR="00DC423A" w:rsidRPr="00DC423A" w:rsidRDefault="00DC423A" w:rsidP="00DC423A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DC423A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Если хозпостройка зарегистрирована в ЕГРН, но ее площадь не более 50 кв.м, то налог с нее не взимается. Льгота применяется только для одной хозпостройки (независимо от её расположения в пределах страны). Основное условие – постройка не используется в предпринимательской деятельности (подпункт 15 пункта 1, пункты 2-5 статьи 407 Налогового кодекса).</w:t>
      </w:r>
    </w:p>
    <w:p w:rsidR="00DC423A" w:rsidRPr="00DC423A" w:rsidRDefault="00DC423A" w:rsidP="00DC423A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DC423A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В силу пункта 2 статьи 399 Налогового кодекса представительные органы муниципальных образований могут расширить условия применения вышеуказанной налоговой льготы по налогу (например, в отношении неограниченного числа хозпостроек в пределах муниципального образования или на хозпостройки площадью более 50 кв.м). Ознакомиться с перечнем налоговых льгот можно в сервисе «Справочная информация о ставках и льготах по имущественным налогам» на сайте ФНС России nalog.ru.</w:t>
      </w:r>
    </w:p>
    <w:p w:rsidR="003554B0" w:rsidRPr="00DC423A" w:rsidRDefault="00DC423A" w:rsidP="00DC423A">
      <w:bookmarkStart w:id="0" w:name="_GoBack"/>
      <w:bookmarkEnd w:id="0"/>
    </w:p>
    <w:sectPr w:rsidR="003554B0" w:rsidRPr="00DC4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7B16EB"/>
    <w:multiLevelType w:val="multilevel"/>
    <w:tmpl w:val="B2ACE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99F"/>
    <w:rsid w:val="0013633A"/>
    <w:rsid w:val="002719F7"/>
    <w:rsid w:val="00314A1D"/>
    <w:rsid w:val="003A74F6"/>
    <w:rsid w:val="004739C3"/>
    <w:rsid w:val="00552AAD"/>
    <w:rsid w:val="00575BB7"/>
    <w:rsid w:val="005875AF"/>
    <w:rsid w:val="00610E18"/>
    <w:rsid w:val="006E0C22"/>
    <w:rsid w:val="0084721D"/>
    <w:rsid w:val="0085017C"/>
    <w:rsid w:val="008F495C"/>
    <w:rsid w:val="0092799F"/>
    <w:rsid w:val="009E1C38"/>
    <w:rsid w:val="009F1988"/>
    <w:rsid w:val="009F7CEB"/>
    <w:rsid w:val="00B003DD"/>
    <w:rsid w:val="00B633CD"/>
    <w:rsid w:val="00BB70C1"/>
    <w:rsid w:val="00BE1AB8"/>
    <w:rsid w:val="00BF2B58"/>
    <w:rsid w:val="00D44E89"/>
    <w:rsid w:val="00DC423A"/>
    <w:rsid w:val="00E44409"/>
    <w:rsid w:val="00FE738D"/>
    <w:rsid w:val="00FF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A36222-F396-417B-8A2C-508AAD6F9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1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1C38"/>
    <w:rPr>
      <w:b/>
      <w:bCs/>
    </w:rPr>
  </w:style>
  <w:style w:type="character" w:styleId="a5">
    <w:name w:val="Emphasis"/>
    <w:basedOn w:val="a0"/>
    <w:uiPriority w:val="20"/>
    <w:qFormat/>
    <w:rsid w:val="009E1C38"/>
    <w:rPr>
      <w:i/>
      <w:iCs/>
    </w:rPr>
  </w:style>
  <w:style w:type="character" w:styleId="a6">
    <w:name w:val="Hyperlink"/>
    <w:basedOn w:val="a0"/>
    <w:uiPriority w:val="99"/>
    <w:semiHidden/>
    <w:unhideWhenUsed/>
    <w:rsid w:val="009E1C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96313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94677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383</Words>
  <Characters>2188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25</cp:revision>
  <dcterms:created xsi:type="dcterms:W3CDTF">2021-08-20T01:07:00Z</dcterms:created>
  <dcterms:modified xsi:type="dcterms:W3CDTF">2021-08-20T02:31:00Z</dcterms:modified>
</cp:coreProperties>
</file>