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CFA" w:rsidRDefault="00B30CFA" w:rsidP="00B30CFA">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6"/>
          <w:rFonts w:ascii="Palatino Linotype" w:hAnsi="Palatino Linotype"/>
          <w:color w:val="000000"/>
          <w:sz w:val="21"/>
          <w:szCs w:val="21"/>
        </w:rPr>
        <w:t>Экспертиза проектов решений о внесении изменений и дополнений в решение Думы муниципальных образований о районном бюджете и бюджетах поселений на 2018 год и плановый период 2019 и 2020 годов</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24.01.2018 </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Усть-Удинского муниципального образования на 2018 год и плановый период 2019 и 2020 годов». В ходе проведения экспертизы представлен уточненный доработанный проект.</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30.01.2018 </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Усть-Удинского муниципального образования на 2018 год и плановый период 2019 и 2020 годов». В ходе проведения экспертизы замечаний не установлено.</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02.02.2018 </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Установлены замечания к приложению № 1 проекта решения в части несоответствия по доходам от уплаты акцизов итоговому объему доходов по указанному виду доходов. В приложениях по расходной части отмечены замечания по разделу подразделу, кодам целевой статьи расхода по муниципальной программе. К проекту решения не представлено приложение № 9 по ведомственной структуре расходов. В приложении № 12 не отражены показатели по изменению остатков средств  на сумму 1046,6 тыс. рублей.</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06.02.2018 </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Установлены отдельные замечания к текстовым показателям проекта решения и приложениям. Также установлено планирование бюджетных ассигнований резервного фонда с превышением допустимого размера по ст. 81 БК РФ (не более 3% от общего объема расходов).  Превышение составит 320,3 тыс. рублей.</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13.02.2018 </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В ходе проведения экспертизы замечаний не установлено.</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14.02.2018 </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В ходе проведения экспертизы замечаний не установлено.</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19.02.2018 </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По результатам экспертизы указывалось, что проект решения необходимо дополнить приложением об источниках внутреннего финансирования дефицита.</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19.02.2018 </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В ходе проведения экспертизы замечаний не установлено.</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20.02.2018 </w:t>
      </w:r>
      <w:r>
        <w:rPr>
          <w:rFonts w:ascii="Palatino Linotype" w:hAnsi="Palatino Linotype"/>
          <w:color w:val="000000"/>
          <w:sz w:val="21"/>
          <w:szCs w:val="21"/>
        </w:rPr>
        <w:t xml:space="preserve">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По результатам экспертизы указывалось о </w:t>
      </w:r>
      <w:r>
        <w:rPr>
          <w:rFonts w:ascii="Palatino Linotype" w:hAnsi="Palatino Linotype"/>
          <w:color w:val="000000"/>
          <w:sz w:val="21"/>
          <w:szCs w:val="21"/>
        </w:rPr>
        <w:lastRenderedPageBreak/>
        <w:t>необходимости уточнения распределения бюджетных ассигнований за счет остатка. В приложениях уточнить коды видов расходов, КЦСР, а также промежуточные итоги. В пояснительной записке не по всем КБК указано экономическое содержание предлагаемых распределений, следовало указывать на какие цели предлагается утверждение бюджетных ассигнований, в противном случае не представляется возможным оценить достоверность применения кодов бюджетной классификации.</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05.03.2018 </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По результатам экспертизы указывалось на необходимость дополнить проект решения пунктом, уточняющим объем бюджетных ассигнований дорожного фонда муниципального образования за счет остатков на 2018 год.</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12.03.2018 </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По результатам экспертизы указывалось на необходимость дополнить проект решения пунктом, уточняющим объем бюджетных ассигнований дорожного фонда муниципального образования за счет остатков на 2018 год, а также уточнить отдельные показатели проекта решения и его приложений.</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12.03.2018 </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По результатам экспертизы указывалось на необходимость дополнить проект решения пунктом, уточняющим объем бюджетных ассигнований дорожного фонда муниципального образования за счет остатков на 2018 год, а также уточнить отдельные показатели проекта решения и его приложений.</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13.03.2018 </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По результатам экспертизы указывалось на необходимость дополнить проект решения пунктом, уточняющим объем бюджетных ассигнований дорожного фонда муниципального образования за счет остатков на 2018 год.</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19.03.2018 </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В ходе проведения экспертизы замечаний не установлено.</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20.03.2018 </w:t>
      </w:r>
      <w:r>
        <w:rPr>
          <w:rFonts w:ascii="Palatino Linotype" w:hAnsi="Palatino Linotype"/>
          <w:color w:val="000000"/>
          <w:sz w:val="21"/>
          <w:szCs w:val="21"/>
        </w:rPr>
        <w:t>Проведена экспертиза проекта решенияДумы «О внесении изменений и дополнений в решение Думы «О бюджете муниципального образования на 2018 год и плановый период 2019 и 2020 годов». По результатам экспертизы указывалось, что в  части применения кодов целевых статей расходов за счет средств субсидий из федерального, областного бюджета, перечисляемых в бюджет поселения в доле, соответствующей установленному уровню софинансирования расходного обязательства муниципального образования необходимо руководствоваться Указаниями Минфина РФ № 65н от 01.07.2013 г., приказом Минфина Иркутской области от 11.11.2016 г. № 95-мпр., письмом Минфина Иркутской области от 24.04.2017г. № 02-52-1999/17/4-3-21.</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22.03.2018 </w:t>
      </w:r>
      <w:r>
        <w:rPr>
          <w:rFonts w:ascii="Palatino Linotype" w:hAnsi="Palatino Linotype"/>
          <w:color w:val="000000"/>
          <w:sz w:val="21"/>
          <w:szCs w:val="21"/>
        </w:rPr>
        <w:t xml:space="preserve">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В ходе проведения экспертизы установлены отдельные замечания к текстовым показателям проекта решения и его приложениям, в том числе уточнить наименования в соответствии с Указаниями № 65н по отдельным кодам бюджетной </w:t>
      </w:r>
      <w:r>
        <w:rPr>
          <w:rFonts w:ascii="Palatino Linotype" w:hAnsi="Palatino Linotype"/>
          <w:color w:val="000000"/>
          <w:sz w:val="21"/>
          <w:szCs w:val="21"/>
        </w:rPr>
        <w:lastRenderedPageBreak/>
        <w:t>классификации. Также установлено замечания к пояснительной записке, в части отсутствия указаний об экономическом содержании предлагаемых изменений. Необходимо указывать на какие цели предлагается утверждение бюджетных ассигнований, в противном случае не представится возможным оценить достоверность применения кодов бюджетной классификации РФ.</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23.04.2018 </w:t>
      </w:r>
      <w:r>
        <w:rPr>
          <w:rFonts w:ascii="Palatino Linotype" w:hAnsi="Palatino Linotype"/>
          <w:color w:val="000000"/>
          <w:sz w:val="21"/>
          <w:szCs w:val="21"/>
        </w:rPr>
        <w:t>Проведена экспертиза проекта решенияДумы «О внесении изменений и дополнений в решение Думы «О бюджете муниципального образования на 2018 год и плановый период 2019 и 2020 годов». Установлено, что проектом решения предлагается распределить отдельные мероприятия перечня проектов народных инициатив по разделу 0503 Благоустройство. Согласно перечня проектов народных инициатив по такому мероприятию указан пункт 12 ст. 14 Федерального закона № 131-ФЗ «создание условий для организации досуга и обеспечения жителей поселения услугами организаций культуры. Таким образом, расходы следует отразить по разделу 0801 Культура. Кроме того указывалось что в части  применения кодов целевых статей расходов за счет средств субсидий из федерального, областного бюджета, перечисляемых в бюджет поселения в доле, соответствующей установленному уровню софинансирования расходного обязательства муниципального образования необходимо руководствоваться Указаниями Минфина РФ № 65н от 01.07.2013 г., приказом Минфина Иркутской области от 11.11.2016 г. № 95-мпр., письмом Минфина Иркутской области от 24.04.2017г. № 02-52-1999/17/4-3-21.</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23.04.2018</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В заключении по результатам экспертизы указывалось на необходимость дополнить решение пунктом, уточняющим объем бюджетных ассигнований дорожного фонда с учетом остатка. Также указывалось дополнить приложением в ведомственной структуре расходов. В части  применения кодов целевых статей расходов за счет средств субсидий из федерального, областного бюджета, перечисляемых в бюджет поселения в доле, соответствующей установленному уровню софинансирования расходного обязательства муниципального образования необходимо руководствоваться Указаниями Минфина РФ № 65н от 01.07.2013 г., приказом Минфина Иркутской области от 11.11.2016 г. № 95-мпр., письмом Минфина Иркутской области от 24.04.2017г. № 02-52-1999/17/4-3-21.</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24.04.2018</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По результатам экспертизы указывалось на необходимость уточнить подраздел по межбюджетным трансфертам в приложении № 5 к проекту решения.</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25.04.2018 </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В проект решения предложена формулировка части 1 пункта 1. Также указывалось на необходимость приведения кодов целевых статей расходов в приложении № 6 в соответствии с приложением № 8.</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26.04.2018</w:t>
      </w:r>
      <w:r>
        <w:rPr>
          <w:rFonts w:ascii="Palatino Linotype" w:hAnsi="Palatino Linotype"/>
          <w:color w:val="000000"/>
          <w:sz w:val="21"/>
          <w:szCs w:val="21"/>
        </w:rPr>
        <w:t xml:space="preserve">  Проведена экспертиза проекта решения Думы «О внесении изменений и дополнений в решении Думы «О бюджете муниципального образования на 2018 год и плановый период 2019 и 2020 годов». По результатам экспертизы отмечалось о необходимости соблюдении применения в соответствии с Указаниями № 65н  в бюджетном </w:t>
      </w:r>
      <w:r>
        <w:rPr>
          <w:rFonts w:ascii="Palatino Linotype" w:hAnsi="Palatino Linotype"/>
          <w:color w:val="000000"/>
          <w:sz w:val="21"/>
          <w:szCs w:val="21"/>
        </w:rPr>
        <w:lastRenderedPageBreak/>
        <w:t>учете КОСГУ по возмещению работникам (сотрудникам) расходов, связанных со служебными командировками.</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26.04.2018 </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По результатам экспертизы отмечалось о соблюдении применения в соответствии с Указаниями № 65н в бюджетном учете КОСГУ по возмещению работникам (сотрудникам) расходов, связанных со служебными командировками.</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07.05.2018</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По результатам экспертизы отмечалось о необходимости уточнения нумерации пунктов и подпунктов проекта решения, также указывалось на несоответствие распределения отдельных бюджетных ассигнований соответствующим доходам.</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10.05.2018   </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Замечаний не установлено.</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10.05.2018 </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Замечаний не установлено.</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11.05.2018 </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Замечаний не установлено.</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18.05.2018</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Установлены замечания к отдельным показателям приложений № 7, 9 к проекту решения.</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14.06.2018 </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В итоговом заключении указывались замечания к отдельным показателям приложений № 7 и 9 проекта решения.</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18.06.2018 </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Установлены отдельные замечания к текстовым показателям приложения № 7 к проекту решения.</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20.06.2018 </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 бюджете муниципального образования на 2018 год и плановый период 2019 и 2020 годов». Указывалось, что в части исполнения судебных актов по обращению взыскания на средства бюджетов бюджетной системы РФ необходимо руководствоваться ст.ст. 242.1, 242.2 БК РФ.</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B30CFA" w:rsidRDefault="00B30CFA" w:rsidP="00B30CFA">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6"/>
          <w:rFonts w:ascii="Palatino Linotype" w:hAnsi="Palatino Linotype"/>
          <w:color w:val="000000"/>
          <w:sz w:val="21"/>
          <w:szCs w:val="21"/>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районного муниципального образования и муниципальных образований района</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lastRenderedPageBreak/>
        <w:t>22.01.2018 </w:t>
      </w:r>
      <w:r>
        <w:rPr>
          <w:rFonts w:ascii="Palatino Linotype" w:hAnsi="Palatino Linotype"/>
          <w:color w:val="000000"/>
          <w:sz w:val="21"/>
          <w:szCs w:val="21"/>
        </w:rPr>
        <w:t>Проведена экспертиза проекта решения Думы об оплате труда главы муниципального образования. Установлены замечания к проекту в части не соблюдения п.4, 8 Постановления Правительства Иркутской области от 27.11.2014г. № 599-пп (в ред. от 21.08.2017).</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25.01.2018 </w:t>
      </w:r>
      <w:r>
        <w:rPr>
          <w:rFonts w:ascii="Palatino Linotype" w:hAnsi="Palatino Linotype"/>
          <w:color w:val="000000"/>
          <w:sz w:val="21"/>
          <w:szCs w:val="21"/>
        </w:rPr>
        <w:t>Проведена экспертиза проекта решения Думы об оплате труда главы муниципального образования. Установлены отдельные замечания к текстовым показателям проекта решения.</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25.01.2018</w:t>
      </w:r>
      <w:r>
        <w:rPr>
          <w:rFonts w:ascii="Palatino Linotype" w:hAnsi="Palatino Linotype"/>
          <w:color w:val="000000"/>
          <w:sz w:val="21"/>
          <w:szCs w:val="21"/>
        </w:rPr>
        <w:t> Проведена экспертиза проекта решения Думы об оплате труда главы муниципального образования, по результатам которой установлено, что проект доработан с учетом ранее выданных заключений.</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05.02.2018 </w:t>
      </w:r>
      <w:r>
        <w:rPr>
          <w:rFonts w:ascii="Palatino Linotype" w:hAnsi="Palatino Linotype"/>
          <w:color w:val="000000"/>
          <w:sz w:val="21"/>
          <w:szCs w:val="21"/>
        </w:rPr>
        <w:t>Проведена экспертиза проекта решения Думы об оплате труда главы муниципального образования. В ходе проведения экспертизы представлен уточненный доработанный проект.</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19.02.2018 </w:t>
      </w:r>
      <w:r>
        <w:rPr>
          <w:rFonts w:ascii="Palatino Linotype" w:hAnsi="Palatino Linotype"/>
          <w:color w:val="000000"/>
          <w:sz w:val="21"/>
          <w:szCs w:val="21"/>
        </w:rPr>
        <w:t>Проведена экспертиза проекта распоряжения «О доплате работникам муниципальных учреждений в муниципальном образовании до величины прожиточного минимума для трудоспособного населения Иркутской области за 4 квартал 2017 года». В ходе экспертизы было установлено, что в проекте распоряжения администрации сельского поселения содержится указание на региональное соглашение о минимальной заработной плате в Иркутской области от 26.01.2017г. Отмечалось, что региональное соглашение о минимальной заработной плате в Иркутской области от 26.01.2017г. утратило силу с 1 января 2018 года в связи с его расторжением сторонами Соглашения. В силу ст. 133 Трудового кодекса РФ месячная заработная плата работника, полностью отработавшего за этот период норму рабочего времени и выполнившего </w:t>
      </w:r>
      <w:hyperlink r:id="rId4" w:history="1">
        <w:r>
          <w:rPr>
            <w:rStyle w:val="a5"/>
            <w:rFonts w:ascii="Palatino Linotype" w:hAnsi="Palatino Linotype"/>
            <w:sz w:val="21"/>
            <w:szCs w:val="21"/>
          </w:rPr>
          <w:t>нормы труда</w:t>
        </w:r>
      </w:hyperlink>
      <w:r>
        <w:rPr>
          <w:rFonts w:ascii="Palatino Linotype" w:hAnsi="Palatino Linotype"/>
          <w:color w:val="000000"/>
          <w:sz w:val="21"/>
          <w:szCs w:val="21"/>
        </w:rPr>
        <w:t> (трудовые обязанности), не может быть ниже минимального размера оплаты труда. В силу ст. 133.1 Трудового кодекса РФ 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 В силу ст. 3 Федерального </w:t>
      </w:r>
      <w:hyperlink r:id="rId5" w:history="1">
        <w:r>
          <w:rPr>
            <w:rStyle w:val="a5"/>
            <w:rFonts w:ascii="Palatino Linotype" w:hAnsi="Palatino Linotype"/>
            <w:sz w:val="21"/>
            <w:szCs w:val="21"/>
          </w:rPr>
          <w:t>закона</w:t>
        </w:r>
      </w:hyperlink>
      <w:r>
        <w:rPr>
          <w:rFonts w:ascii="Palatino Linotype" w:hAnsi="Palatino Linotype"/>
          <w:color w:val="000000"/>
          <w:sz w:val="21"/>
          <w:szCs w:val="21"/>
        </w:rPr>
        <w:t> от 28.12.2017 N 421-ФЗ сумма минимального размера оплаты труда составляет с 1 января 2018 г. 9 489 рублей. Также отмечаем, что в распоряжении необходимо указать сумму  9489 рублей, без применения районного коэффициента и  за работу в южных районах Иркутской области, поскольку согласно пункта 1 Постановления Совмина СССР, ВЦСПС от 24.09.1989 N 794 выплату процентных надбавок к заработной плате рабочих и служащих за непрерывный стаж работы на предприятиях, в учреждениях и организациях, расположенных в южных районах Иркутской области и Красноярского края, которым выплата таких надбавок в настоящее время не установлена, производят в размере 10 процентов по истечении первого года работы, с увеличением на 10 процентов за каждые последующие два года работы, но не свыше 30 процентов заработка. Проект распоряжения предлагалось доработать с учетом отмеченных замечаний.</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22.02.2018 </w:t>
      </w:r>
      <w:r>
        <w:rPr>
          <w:rFonts w:ascii="Palatino Linotype" w:hAnsi="Palatino Linotype"/>
          <w:color w:val="000000"/>
          <w:sz w:val="21"/>
          <w:szCs w:val="21"/>
        </w:rPr>
        <w:t>Проведена экспертиза проекта решения Думы об оплате труда главы муниципального образования. Установлены отдельные замечания к текстовым показателям проекта решения, а также уточнить утратившие силу НПА.</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22.02.2018 </w:t>
      </w:r>
      <w:r>
        <w:rPr>
          <w:rFonts w:ascii="Palatino Linotype" w:hAnsi="Palatino Linotype"/>
          <w:color w:val="000000"/>
          <w:sz w:val="21"/>
          <w:szCs w:val="21"/>
        </w:rPr>
        <w:t>Проведена экспертиза проекта решения Думы о внесении изменений в Положение «Об оплате труда муниципальных служащих муниципального образования». Установлены отдельные замечания к текстовым показателям проекта решения, отдельные НПА утратили силу, соблюдать норматив формирования расходов на оплату труда муниципального служащего, превышение которого возможно в случае повышения надбавки за классный чин до 2 или 1 класса.</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lastRenderedPageBreak/>
        <w:t>22.02.2018 </w:t>
      </w:r>
      <w:r>
        <w:rPr>
          <w:rFonts w:ascii="Palatino Linotype" w:hAnsi="Palatino Linotype"/>
          <w:color w:val="000000"/>
          <w:sz w:val="21"/>
          <w:szCs w:val="21"/>
        </w:rPr>
        <w:t>Проведена экспертизапроекта постановления администрации «О внесении изменений в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Установлены замечания к содержащимся в положении НПА (указан указ Губернатора № 191-уг, следует указать №  192-уг). Установлены отдельные несоответствия проекта Положения с указом Губернатора Иркутской области № 246-уг.</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26.02.2018</w:t>
      </w:r>
      <w:r>
        <w:rPr>
          <w:rFonts w:ascii="Palatino Linotype" w:hAnsi="Palatino Linotype"/>
          <w:color w:val="000000"/>
          <w:sz w:val="21"/>
          <w:szCs w:val="21"/>
        </w:rPr>
        <w:t>Проведена экспертиза проекта распоряжения «О доплате до минимального размера оплаты труда до прожиточного минимума трудоспособного населения работникам администрации». Установлены отдельные замечания к текстовым показателям проекта решения.</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26.02.2018</w:t>
      </w:r>
      <w:r>
        <w:rPr>
          <w:rFonts w:ascii="Palatino Linotype" w:hAnsi="Palatino Linotype"/>
          <w:color w:val="000000"/>
          <w:sz w:val="21"/>
          <w:szCs w:val="21"/>
        </w:rPr>
        <w:t>Проведена экспертиза проекта распоряжения «О доплате до минимального размера оплаты труда работникам администрации». Установлено, что представленный проект был доработан с учетом замечаний, отмеченных ранее в заключениях.</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01.03.2018</w:t>
      </w:r>
      <w:r>
        <w:rPr>
          <w:rFonts w:ascii="Palatino Linotype" w:hAnsi="Palatino Linotype"/>
          <w:color w:val="000000"/>
          <w:sz w:val="21"/>
          <w:szCs w:val="21"/>
        </w:rPr>
        <w:t>Проведена экспертиза проекта постановления о доплате до минимального размера оплаты труда на 2018 год. Замечаний в ходе экспертизы не установленостановлено.</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23.05.2018 </w:t>
      </w:r>
      <w:r>
        <w:rPr>
          <w:rFonts w:ascii="Palatino Linotype" w:hAnsi="Palatino Linotype"/>
          <w:color w:val="000000"/>
          <w:sz w:val="21"/>
          <w:szCs w:val="21"/>
        </w:rPr>
        <w:t>Проведена экспертиза проекта решения Думы «Об утверждении структуры администрации муниципального образования». В итоговом заключении отмечалось, что в нарушение ч. 2 ст. 83 БК РФ проект не содержит ссылок на наличие источников дополнительных поступлений в бюджет, либо перечень отдельных статей расходов бюджета, по которым произойдет сокращение бюджетных ассигнований.</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23.05.2018 </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«Об утверждении Положения об оплате труда муниципальных служащих»». По результатам экспертизы указывалось на необходимость в положении об оплате труда «ежемесячное денежное вознаграждение» заменить на «ежемесячное денежно поощрение».</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09.06.2018</w:t>
      </w:r>
      <w:r>
        <w:rPr>
          <w:rFonts w:ascii="Palatino Linotype" w:hAnsi="Palatino Linotype"/>
          <w:color w:val="000000"/>
          <w:sz w:val="21"/>
          <w:szCs w:val="21"/>
        </w:rPr>
        <w:t>Проведена экспертиза проекта решения Думы «О внесении изменений и дополнений в решение Думы «Об утверждении Положения об оплате труда муниципальных служащих»». В итоговом заключении указывались замечания к ЕДП и классным чинам.</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20.06.2018 </w:t>
      </w:r>
      <w:r>
        <w:rPr>
          <w:rFonts w:ascii="Palatino Linotype" w:hAnsi="Palatino Linotype"/>
          <w:color w:val="000000"/>
          <w:sz w:val="21"/>
          <w:szCs w:val="21"/>
        </w:rPr>
        <w:t>Проведена экспертиза проекта решения Думы «Об утверждении заключенных дополнительных соглашений о реструктуризации обязательств (задолженности) муниципальным образованием перед Иркутской областью по бюджетным кредитам». Замечаний не установлено.</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20.06.2018 </w:t>
      </w:r>
      <w:r>
        <w:rPr>
          <w:rFonts w:ascii="Palatino Linotype" w:hAnsi="Palatino Linotype"/>
          <w:color w:val="000000"/>
          <w:sz w:val="21"/>
          <w:szCs w:val="21"/>
        </w:rPr>
        <w:t>Проведена экспертиза проекта решения Думы «О внесении изменений в Положение «Об оплате труда муниципальных служащих муниципального образования». Указывались замечания к текстовым показателям проекта решения, а именно дополнить реквизитами правового акта по ссылкам на такие акты, уточнить нормы о предельном нормативе размера должностного оклада в соответствии с постановлением правительства Иркутской области № 599-пп от 27.11.2014г. и другие.</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22.06.2018 </w:t>
      </w:r>
      <w:r>
        <w:rPr>
          <w:rFonts w:ascii="Palatino Linotype" w:hAnsi="Palatino Linotype"/>
          <w:color w:val="000000"/>
          <w:sz w:val="21"/>
          <w:szCs w:val="21"/>
        </w:rPr>
        <w:t>Проведена экспертиза проекта постановления о создании МКУ Единая дежурно-диспетчерская служба. Установлены замечания к отдельным нормам, несоответствующим нормам Федерального закона №7-ФЗ и другие замечания.</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27.06.2018 </w:t>
      </w:r>
      <w:r>
        <w:rPr>
          <w:rFonts w:ascii="Palatino Linotype" w:hAnsi="Palatino Linotype"/>
          <w:color w:val="000000"/>
          <w:sz w:val="21"/>
          <w:szCs w:val="21"/>
        </w:rPr>
        <w:t xml:space="preserve">Проведена экспертиза проекта постановления администрации муниципального образования «Об утверждении Положения об оплате труда военно-учетных работников на осуществление полномочий по ведению первичного воинского учета». В итоговом заключении указывалось на необходимость установить размер должностного </w:t>
      </w:r>
      <w:r>
        <w:rPr>
          <w:rFonts w:ascii="Palatino Linotype" w:hAnsi="Palatino Linotype"/>
          <w:color w:val="000000"/>
          <w:sz w:val="21"/>
          <w:szCs w:val="21"/>
        </w:rPr>
        <w:lastRenderedPageBreak/>
        <w:t>оклада, определить порядки по отдельным выплатам, уточнить календарные дни отпуска согласно ст. 14 Закона РФ от  19.02.1993г. № 4250-1.</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B30CFA" w:rsidRDefault="00B30CFA" w:rsidP="00B30CFA">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6"/>
          <w:rFonts w:ascii="Palatino Linotype" w:hAnsi="Palatino Linotype"/>
          <w:color w:val="000000"/>
          <w:sz w:val="21"/>
          <w:szCs w:val="21"/>
        </w:rPr>
        <w:t>Внешняя проверка годового отчета об исполнении бюджета муниципального образования за 2017 год и подготовка заключения на годовой отчет об исполнении бюджета</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01.03.2018 </w:t>
      </w:r>
      <w:r>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2017 год» и внешняя проверка отчета об исполнении бюджета. Установлены замечания к отдельным формам годовой отчетности в части нарушения п. 49, 50, 159 Приказа Минфина России от 28.12.2010г. № 191н, а также отдельные замечания к показателям проекта решения.</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02.03.2018 </w:t>
      </w:r>
      <w:r>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2017 год» и внешняя проверка отчета об исполнении бюджета. Установлены замечания к отдельным формам годовой отчетности в части нарушения п. 49, 70, 159, 167, 170.2 Приказа Минфина России от 28.12.2010г. № 191н, п. 140 Приказа Минфина России № 162н. Установлены нарушения п. 3 ст. 219 Бюджетного кодекса РФ.</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12.03.2018 </w:t>
      </w:r>
      <w:r>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2017 год» и внешняя проверка отчета об исполнении бюджета. Установлены замечания к отдельным формам годовой отчетности в части нарушения п. 49, 50, 159, 161, 167, 170.2, 172 Приказа Минфина России от 28.12.2010г. № 191н, а также отдельные замечания к показателям проекта решения. Установлены нарушения ст. 9 Федерального закона № 402-ФЗ, ст. 33, ст. 35, 74, п.3 ст. 219, 264.6, БК РФ.</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19.03.2018 </w:t>
      </w:r>
      <w:r>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2017 год» и внешняя проверка отчета об исполнении бюджета. Установлены замечания к отдельным формам годовой отчетности в части нарушения п. 6, 9, 49, 150, 164, 167, 170.2 Приказа Минфина России от 28.12.2010г. № 191н, п. 140 Приказа Минфина России № 162н, п. 118 Приказа Минфина России № 157н, а также отдельные замечания к показателям проекта решения. Установлены нарушения в части наименований и кодов доходов Инструкции № 65н.</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02.04.2018</w:t>
      </w:r>
      <w:r>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2017 год» и внешняя проверка отчета об исполнении бюджета. Установлены замечания к отдельным формам годовой отчетности в части нарушения п. 23, 72.1, 163, 170.2 Приказа Минфина России от 28.12.2010г. № 191н, п. 38 Приказа Минфина России № 162н, а также отдельные замечания к показателям проекта решения и его приложениям. Установлены нарушения п.3 ст. 9 Федерального закона №402-ФЗ, ст. 34 Бюджетного кодекса РФ.</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03.04.2018 </w:t>
      </w:r>
      <w:r>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2017 год» и внешняя проверка отчета об исполнении бюджета. Установлены замечания к отдельным формам годовой отчетности в части нарушений п.п. 9, 49, 70, 71, 153, 155, 167 Приказа Минфина России от 28.12.2010г. № 191н, п.п. 38, 102, 164 Приказа Минфина России № 162н, а также отдельные замечания к показателям проекта решения и его приложениям. Установлены нарушения п.3 ст. 9 Федерального закона №402-ФЗ. Не представлялся отчет о дорожном фонде муниципального образования в нарушение Положения о муниципальном дорожном фонде.</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19.04.2018 </w:t>
      </w:r>
      <w:r>
        <w:rPr>
          <w:rFonts w:ascii="Palatino Linotype" w:hAnsi="Palatino Linotype"/>
          <w:color w:val="000000"/>
          <w:sz w:val="21"/>
          <w:szCs w:val="21"/>
        </w:rPr>
        <w:t xml:space="preserve">Проведена экспертиза проекта решения «Об исполнении бюджета муниципального образования за 2017 год» и внешняя проверка отчета об исполнении </w:t>
      </w:r>
      <w:r>
        <w:rPr>
          <w:rFonts w:ascii="Palatino Linotype" w:hAnsi="Palatino Linotype"/>
          <w:color w:val="000000"/>
          <w:sz w:val="21"/>
          <w:szCs w:val="21"/>
        </w:rPr>
        <w:lastRenderedPageBreak/>
        <w:t>бюджета. Установлены замечания к отдельным формам годовой отчетности в части отражения в них данных, не соответствующих утвержденным плановым значениям; в неполном отражении данных. Использование средств дорожного фонда в нарушение ст. 179.4 БК РФ.  </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23.04.2018</w:t>
      </w:r>
      <w:r>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2017 год» и внешняя проверка отчета об исполнении бюджета. Установлены замечания к отдельным формам годовой отчетности в части нарушений п.п. 7, 164 Приказа Минфина России от 28.12.2010г. № 191н, п.п. 141 Приказа Минфина России № 162н. Установлены нарушения ст. 34 Бюджетного кодекса РФ.</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24.04.2018</w:t>
      </w:r>
      <w:r>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2017 год» и внешняя проверка отчета об исполнении бюджета. Установлены замечания к отдельным формам годовой отчетности в части нарушений п.п. 150 Приказа Минфина России от 28.12.2010г. № 191н, п.п. 140 Приказа Минфина России № 162н. Установлены нарушения ст. 34 Бюджетного кодекса РФ.</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25.04.2018 </w:t>
      </w:r>
      <w:r>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2017 год» и внешняя проверка отчета об исполнении бюджета. Установлены замечания к отдельным формам годовой отчетности в части нарушений п.п. 72.1, 150 Приказа Минфина России от 28.12.2010г. № 191н, п. 140 Приказа Минфина России № 162н.</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26.04.2018 </w:t>
      </w:r>
      <w:r>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2017 год» и внешняя проверка отчета об исполнении бюджета. Установлены замечания к отдельным формам годовой отчетности в части нарушений п.п. 172 Приказа Минфина России от 28.12.2010г. № 191н, п.п. 140 Приказа Минфина России № 162н. Установлены нарушения ст. 34 Бюджетного кодекса РФ. Не представлялся отчет о дорожном фонде муниципального образования в нарушение Положения о муниципальном дорожном фонде.</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27.04.2018 </w:t>
      </w:r>
      <w:r>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2017 год» и внешняя проверка отчета об исполнении бюджета. Установлены замечания к отдельным формам годовой отчетности в части нарушений п.п. 11.2, 140 Приказа Минфина России от 28.12.2010г. № 191н, п.п. 140 Приказа Минфина России № 162н, п.п. 50, 318 Инструкции № 157н, п.п. 21, 65.1, 72.1 Инструкции № 33н, п.п. 174 Инструкции № 183н. Установлены нарушения ст.ст. 34,  219 Бюджетного кодекса РФ, ст. 9, 11, 13 Федерального закона № 402-ФЗ.</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04.05.2018</w:t>
      </w:r>
      <w:r>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2017 год» и внешняя проверка отчета об исполнении бюджета. Установлены замечания к отдельным формам годовой отчетности в части нарушений п.п. 167, 170.2 Приказа Минфина России от 28.12.2010г. № 191н. Установлено нарушение ст. 264.4 Бюджетного кодекса РФ.</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04.05.2018 </w:t>
      </w:r>
      <w:r>
        <w:rPr>
          <w:rFonts w:ascii="Palatino Linotype" w:hAnsi="Palatino Linotype"/>
          <w:color w:val="000000"/>
          <w:sz w:val="21"/>
          <w:szCs w:val="21"/>
        </w:rPr>
        <w:t>Проведена экспертиза проекта решения «Об исполнении бюджета муниципального образования за 2017 год» и внешняя проверка отчета об исполнении бюджета. Установлены замечания к отдельным формам годовой отчетности в части нарушений п.п. 20, 160, 164, 170.2  Приказа Минфина России от 28.12.2010г. № 191н.</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11.05.2018 </w:t>
      </w:r>
      <w:r>
        <w:rPr>
          <w:rFonts w:ascii="Palatino Linotype" w:hAnsi="Palatino Linotype"/>
          <w:color w:val="000000"/>
          <w:sz w:val="21"/>
          <w:szCs w:val="21"/>
        </w:rPr>
        <w:t xml:space="preserve">Проведена экспертиза проекта решения «Об исполнении бюджета муниципального образования за 2017 год» и внешняя проверка отчета об исполнении бюджета. Установлены замечания к отдельным формам годовой отчетности в части нарушений п.п. 7, 70, 71, 150, 159, 167, 170.2  Инструкции № 191н,  п.п. 139-141.1 Инструкции </w:t>
      </w:r>
      <w:r>
        <w:rPr>
          <w:rFonts w:ascii="Palatino Linotype" w:hAnsi="Palatino Linotype"/>
          <w:color w:val="000000"/>
          <w:sz w:val="21"/>
          <w:szCs w:val="21"/>
        </w:rPr>
        <w:lastRenderedPageBreak/>
        <w:t>№ 162н. Установлены нарушения ст. ст. 219, 264.4 Бюджетного кодекса РФ, ст. 9 Федерального закона № 402-ФЗ. Установлены отдельные замечания к показателям проекта решения и его приложений об исполнении местного бюджета.</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Обследование достоверности, полноты и соответствия нормативным требованиям составления и представления отчета об исполнении районного бюджета и  бюджетов муниципальных образований района за 1 квартал, полугодие, 9 месяцев</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14.05.2018 </w:t>
      </w:r>
      <w:r>
        <w:rPr>
          <w:rFonts w:ascii="Palatino Linotype" w:hAnsi="Palatino Linotype"/>
          <w:color w:val="000000"/>
          <w:sz w:val="21"/>
          <w:szCs w:val="21"/>
        </w:rPr>
        <w:t>Проведено обследование достоверности, полноты и соответствия нормативным требованиям составления и представления отчета об исполнении бюджета за 1 квартал 2018 года. Установлены замечания к показателям отдельных форм отчетности. </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B30CFA" w:rsidRDefault="00B30CFA" w:rsidP="00B30CFA">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6"/>
          <w:rFonts w:ascii="Palatino Linotype" w:hAnsi="Palatino Linotype"/>
          <w:color w:val="000000"/>
          <w:sz w:val="21"/>
          <w:szCs w:val="21"/>
        </w:rPr>
        <w:t>Анализ использования субвенций, выделенных в 2016-2017 годах на осуществление полномочий по первичному воинскому учету на территориях, где отсутствуют военные комиссариаты (Юголокское сельское поселение)</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11.05.2018 </w:t>
      </w:r>
      <w:r>
        <w:rPr>
          <w:rFonts w:ascii="Palatino Linotype" w:hAnsi="Palatino Linotype"/>
          <w:color w:val="000000"/>
          <w:sz w:val="21"/>
          <w:szCs w:val="21"/>
        </w:rPr>
        <w:t>Проведено экспертно-аналитическое мероприятие «Анализ использования субвенций, выделенных в 2016-2017 годах на осуществление полномочий по первичному воинскому учету на территориях, где отсутствуют военные комиссариаты» на объекте администрация Юголокского сельское поселение. Объем средств подлежащих анализу составил 188,4 тыс. рублей. Установлено, что в нарушение ст. 135 ТК РФ, п. 4 приказа Министра обороны РФ от 23 апреля 2014 года № 255 не разработано и не утверждено, что привело к нарушениям при начислении заработной платы. В итоговом заключении указывалось на необходимость разработать и утвердить в соответствии с требованиями ст. 135 ТК РФ и Приказа Министра обороны № 255 положение об оплате труда работника ВУС. Привести в соответствие с утвержденным положением штатное расписание. Вести карточки-справки в соответствии с требованиями Приказа Минфина России от 30.03.2015 № 52н.</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B30CFA" w:rsidRDefault="00B30CFA" w:rsidP="00B30CFA">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6"/>
          <w:rFonts w:ascii="Palatino Linotype" w:hAnsi="Palatino Linotype"/>
          <w:color w:val="000000"/>
          <w:sz w:val="21"/>
          <w:szCs w:val="21"/>
        </w:rPr>
        <w:t>Анализ использования субвенций, выделенных в 2016-2017 годах на осуществление полномочий по первичному воинскому учету на территориях, где отсутствуют военные комиссариаты (Усть-Удинское городское поселение)</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27.06.2018 </w:t>
      </w:r>
      <w:r>
        <w:rPr>
          <w:rFonts w:ascii="Palatino Linotype" w:hAnsi="Palatino Linotype"/>
          <w:color w:val="000000"/>
          <w:sz w:val="21"/>
          <w:szCs w:val="21"/>
        </w:rPr>
        <w:t xml:space="preserve">Проведено экспертно-аналитическое мероприятие «Анализ использования субвенций, выделенных в 2016-2017 годах на осуществление полномочий по первичному воинскому учету на территориях, где отсутствуют военные комиссариаты» на объекте администрация Усть-Удинское городского  поселения. Объем средств подлежащих анализу составил 317,8 тыс. рублей. Установлено, что средства субвенции доведены до муниципального образования на 38,9 тыс. рублей меньше, чем предусмотрено расчетами по распределению средств. Положением об оплате труда военно-учетного работника не определен порядок установления и выплаты надбавок за выслугу лет, премии в размере 25%, премии по результатам работы, единовременного денежного вознаграждения, процентные набавки за выслугу лет не соответствуют нормам, приведенным в пункте 36 Приказа Министра обороны РФ № 255.  Кроме того, установлено, что выплата единовременной выплаты к отпуску на сумму 19,9 тыс. рублей произведена в нарушение Положения об оплате труда военно-учетного работника (указанная выплата не предусмотрена положением). В итоговом заключении предлагалось доработать в соответствии с нормами Приказа Министра обороны РФ № 255 положение об оплате труда военно-учетного работника. Производить </w:t>
      </w:r>
      <w:r>
        <w:rPr>
          <w:rFonts w:ascii="Palatino Linotype" w:hAnsi="Palatino Linotype"/>
          <w:color w:val="000000"/>
          <w:sz w:val="21"/>
          <w:szCs w:val="21"/>
        </w:rPr>
        <w:lastRenderedPageBreak/>
        <w:t>оплату труда в соответствии  с нормами Положения об оплате труда. Привлечь лиц, допустивших указанные в настоящем заключении нарушения к дисциплинарной ответственности.</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Взаимодействие с прокуратурой,  с правоохранительными органами по выявлению и пресечению правонарушений в финансово-бюджетной сфере</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19.02.2018</w:t>
      </w:r>
      <w:r>
        <w:rPr>
          <w:rFonts w:ascii="Palatino Linotype" w:hAnsi="Palatino Linotype"/>
          <w:color w:val="000000"/>
          <w:sz w:val="21"/>
          <w:szCs w:val="21"/>
        </w:rPr>
        <w:t>  Поступили документы для исследования от Отдела полиции №2.</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19.03.2018</w:t>
      </w:r>
      <w:r>
        <w:rPr>
          <w:rFonts w:ascii="Palatino Linotype" w:hAnsi="Palatino Linotype"/>
          <w:color w:val="000000"/>
          <w:sz w:val="21"/>
          <w:szCs w:val="21"/>
        </w:rPr>
        <w:t> Проведен анализ представленных Отделом полиции №2 документов.  Соответствующее заключение подготовлено и направлено в Отдел полиции №2.</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12.03.2018</w:t>
      </w:r>
      <w:r>
        <w:rPr>
          <w:rFonts w:ascii="Palatino Linotype" w:hAnsi="Palatino Linotype"/>
          <w:color w:val="000000"/>
          <w:sz w:val="21"/>
          <w:szCs w:val="21"/>
        </w:rPr>
        <w:t> Поступил запрос прокуратуры Усть-Удинского района о проведении проверки.</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05.06.2018</w:t>
      </w:r>
      <w:r>
        <w:rPr>
          <w:rFonts w:ascii="Palatino Linotype" w:hAnsi="Palatino Linotype"/>
          <w:color w:val="000000"/>
          <w:sz w:val="21"/>
          <w:szCs w:val="21"/>
        </w:rPr>
        <w:t> Результаты проверки направлены в Прокуратуру Усть-Удинского района.</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23.05.2018</w:t>
      </w:r>
      <w:r>
        <w:rPr>
          <w:rFonts w:ascii="Palatino Linotype" w:hAnsi="Palatino Linotype"/>
          <w:color w:val="000000"/>
          <w:sz w:val="21"/>
          <w:szCs w:val="21"/>
        </w:rPr>
        <w:t> Поступило требование прокуратуры Усть-Удинского района о выделении специалиста на проведение проверки.</w:t>
      </w:r>
    </w:p>
    <w:p w:rsidR="00B30CFA" w:rsidRDefault="00B30CFA" w:rsidP="00B30CFA">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31.05.2018</w:t>
      </w:r>
      <w:r>
        <w:rPr>
          <w:rFonts w:ascii="Palatino Linotype" w:hAnsi="Palatino Linotype"/>
          <w:color w:val="000000"/>
          <w:sz w:val="21"/>
          <w:szCs w:val="21"/>
        </w:rPr>
        <w:t> Результаты проверки направлены в Прокуратуру Усть-Удинского района.</w:t>
      </w:r>
    </w:p>
    <w:p w:rsidR="003E0016" w:rsidRPr="00B30CFA" w:rsidRDefault="003E0016" w:rsidP="00B30CFA">
      <w:bookmarkStart w:id="0" w:name="_GoBack"/>
      <w:bookmarkEnd w:id="0"/>
    </w:p>
    <w:sectPr w:rsidR="003E0016" w:rsidRPr="00B30CFA" w:rsidSect="006F70CC">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4D"/>
    <w:rsid w:val="000F6A9F"/>
    <w:rsid w:val="00174DE6"/>
    <w:rsid w:val="001924B6"/>
    <w:rsid w:val="001F0D4D"/>
    <w:rsid w:val="001F5C96"/>
    <w:rsid w:val="00215EBF"/>
    <w:rsid w:val="002E1509"/>
    <w:rsid w:val="002E3581"/>
    <w:rsid w:val="003C7988"/>
    <w:rsid w:val="003E0016"/>
    <w:rsid w:val="003F5514"/>
    <w:rsid w:val="00426B7F"/>
    <w:rsid w:val="005404D5"/>
    <w:rsid w:val="00566A93"/>
    <w:rsid w:val="00603816"/>
    <w:rsid w:val="00683D8C"/>
    <w:rsid w:val="006F70CC"/>
    <w:rsid w:val="00797E06"/>
    <w:rsid w:val="00AB3B44"/>
    <w:rsid w:val="00B30CFA"/>
    <w:rsid w:val="00D72AA2"/>
    <w:rsid w:val="00F27B71"/>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00F11-4E99-4531-BB2E-594A11A8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2E"/>
    <w:pPr>
      <w:spacing w:after="0" w:line="360" w:lineRule="auto"/>
      <w:ind w:firstLine="709"/>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DE6"/>
    <w:pPr>
      <w:spacing w:before="100" w:beforeAutospacing="1" w:after="100" w:afterAutospacing="1" w:line="240" w:lineRule="auto"/>
      <w:ind w:firstLine="0"/>
    </w:pPr>
    <w:rPr>
      <w:sz w:val="24"/>
    </w:rPr>
  </w:style>
  <w:style w:type="character" w:styleId="a4">
    <w:name w:val="Strong"/>
    <w:basedOn w:val="a0"/>
    <w:uiPriority w:val="22"/>
    <w:qFormat/>
    <w:rsid w:val="00174DE6"/>
    <w:rPr>
      <w:b/>
      <w:bCs/>
    </w:rPr>
  </w:style>
  <w:style w:type="character" w:styleId="a5">
    <w:name w:val="Hyperlink"/>
    <w:basedOn w:val="a0"/>
    <w:uiPriority w:val="99"/>
    <w:semiHidden/>
    <w:unhideWhenUsed/>
    <w:rsid w:val="00174DE6"/>
    <w:rPr>
      <w:color w:val="0000FF"/>
      <w:u w:val="single"/>
    </w:rPr>
  </w:style>
  <w:style w:type="character" w:styleId="a6">
    <w:name w:val="Emphasis"/>
    <w:basedOn w:val="a0"/>
    <w:uiPriority w:val="20"/>
    <w:qFormat/>
    <w:rsid w:val="001924B6"/>
    <w:rPr>
      <w:i/>
      <w:iCs/>
    </w:rPr>
  </w:style>
  <w:style w:type="paragraph" w:customStyle="1" w:styleId="consplusnonformat">
    <w:name w:val="consplusnonformat"/>
    <w:basedOn w:val="a"/>
    <w:rsid w:val="006F70CC"/>
    <w:pPr>
      <w:spacing w:before="100" w:beforeAutospacing="1" w:after="100" w:afterAutospacing="1" w:line="240" w:lineRule="auto"/>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3346">
      <w:bodyDiv w:val="1"/>
      <w:marLeft w:val="0"/>
      <w:marRight w:val="0"/>
      <w:marTop w:val="0"/>
      <w:marBottom w:val="0"/>
      <w:divBdr>
        <w:top w:val="none" w:sz="0" w:space="0" w:color="auto"/>
        <w:left w:val="none" w:sz="0" w:space="0" w:color="auto"/>
        <w:bottom w:val="none" w:sz="0" w:space="0" w:color="auto"/>
        <w:right w:val="none" w:sz="0" w:space="0" w:color="auto"/>
      </w:divBdr>
    </w:div>
    <w:div w:id="261911710">
      <w:bodyDiv w:val="1"/>
      <w:marLeft w:val="0"/>
      <w:marRight w:val="0"/>
      <w:marTop w:val="0"/>
      <w:marBottom w:val="0"/>
      <w:divBdr>
        <w:top w:val="none" w:sz="0" w:space="0" w:color="auto"/>
        <w:left w:val="none" w:sz="0" w:space="0" w:color="auto"/>
        <w:bottom w:val="none" w:sz="0" w:space="0" w:color="auto"/>
        <w:right w:val="none" w:sz="0" w:space="0" w:color="auto"/>
      </w:divBdr>
    </w:div>
    <w:div w:id="357850006">
      <w:bodyDiv w:val="1"/>
      <w:marLeft w:val="0"/>
      <w:marRight w:val="0"/>
      <w:marTop w:val="0"/>
      <w:marBottom w:val="0"/>
      <w:divBdr>
        <w:top w:val="none" w:sz="0" w:space="0" w:color="auto"/>
        <w:left w:val="none" w:sz="0" w:space="0" w:color="auto"/>
        <w:bottom w:val="none" w:sz="0" w:space="0" w:color="auto"/>
        <w:right w:val="none" w:sz="0" w:space="0" w:color="auto"/>
      </w:divBdr>
    </w:div>
    <w:div w:id="414593546">
      <w:bodyDiv w:val="1"/>
      <w:marLeft w:val="0"/>
      <w:marRight w:val="0"/>
      <w:marTop w:val="0"/>
      <w:marBottom w:val="0"/>
      <w:divBdr>
        <w:top w:val="none" w:sz="0" w:space="0" w:color="auto"/>
        <w:left w:val="none" w:sz="0" w:space="0" w:color="auto"/>
        <w:bottom w:val="none" w:sz="0" w:space="0" w:color="auto"/>
        <w:right w:val="none" w:sz="0" w:space="0" w:color="auto"/>
      </w:divBdr>
    </w:div>
    <w:div w:id="629555208">
      <w:bodyDiv w:val="1"/>
      <w:marLeft w:val="0"/>
      <w:marRight w:val="0"/>
      <w:marTop w:val="0"/>
      <w:marBottom w:val="0"/>
      <w:divBdr>
        <w:top w:val="none" w:sz="0" w:space="0" w:color="auto"/>
        <w:left w:val="none" w:sz="0" w:space="0" w:color="auto"/>
        <w:bottom w:val="none" w:sz="0" w:space="0" w:color="auto"/>
        <w:right w:val="none" w:sz="0" w:space="0" w:color="auto"/>
      </w:divBdr>
    </w:div>
    <w:div w:id="767115405">
      <w:bodyDiv w:val="1"/>
      <w:marLeft w:val="0"/>
      <w:marRight w:val="0"/>
      <w:marTop w:val="0"/>
      <w:marBottom w:val="0"/>
      <w:divBdr>
        <w:top w:val="none" w:sz="0" w:space="0" w:color="auto"/>
        <w:left w:val="none" w:sz="0" w:space="0" w:color="auto"/>
        <w:bottom w:val="none" w:sz="0" w:space="0" w:color="auto"/>
        <w:right w:val="none" w:sz="0" w:space="0" w:color="auto"/>
      </w:divBdr>
    </w:div>
    <w:div w:id="784273406">
      <w:bodyDiv w:val="1"/>
      <w:marLeft w:val="0"/>
      <w:marRight w:val="0"/>
      <w:marTop w:val="0"/>
      <w:marBottom w:val="0"/>
      <w:divBdr>
        <w:top w:val="none" w:sz="0" w:space="0" w:color="auto"/>
        <w:left w:val="none" w:sz="0" w:space="0" w:color="auto"/>
        <w:bottom w:val="none" w:sz="0" w:space="0" w:color="auto"/>
        <w:right w:val="none" w:sz="0" w:space="0" w:color="auto"/>
      </w:divBdr>
    </w:div>
    <w:div w:id="893544315">
      <w:bodyDiv w:val="1"/>
      <w:marLeft w:val="0"/>
      <w:marRight w:val="0"/>
      <w:marTop w:val="0"/>
      <w:marBottom w:val="0"/>
      <w:divBdr>
        <w:top w:val="none" w:sz="0" w:space="0" w:color="auto"/>
        <w:left w:val="none" w:sz="0" w:space="0" w:color="auto"/>
        <w:bottom w:val="none" w:sz="0" w:space="0" w:color="auto"/>
        <w:right w:val="none" w:sz="0" w:space="0" w:color="auto"/>
      </w:divBdr>
    </w:div>
    <w:div w:id="941912622">
      <w:bodyDiv w:val="1"/>
      <w:marLeft w:val="0"/>
      <w:marRight w:val="0"/>
      <w:marTop w:val="0"/>
      <w:marBottom w:val="0"/>
      <w:divBdr>
        <w:top w:val="none" w:sz="0" w:space="0" w:color="auto"/>
        <w:left w:val="none" w:sz="0" w:space="0" w:color="auto"/>
        <w:bottom w:val="none" w:sz="0" w:space="0" w:color="auto"/>
        <w:right w:val="none" w:sz="0" w:space="0" w:color="auto"/>
      </w:divBdr>
    </w:div>
    <w:div w:id="966200226">
      <w:bodyDiv w:val="1"/>
      <w:marLeft w:val="0"/>
      <w:marRight w:val="0"/>
      <w:marTop w:val="0"/>
      <w:marBottom w:val="0"/>
      <w:divBdr>
        <w:top w:val="none" w:sz="0" w:space="0" w:color="auto"/>
        <w:left w:val="none" w:sz="0" w:space="0" w:color="auto"/>
        <w:bottom w:val="none" w:sz="0" w:space="0" w:color="auto"/>
        <w:right w:val="none" w:sz="0" w:space="0" w:color="auto"/>
      </w:divBdr>
    </w:div>
    <w:div w:id="1022367361">
      <w:bodyDiv w:val="1"/>
      <w:marLeft w:val="0"/>
      <w:marRight w:val="0"/>
      <w:marTop w:val="0"/>
      <w:marBottom w:val="0"/>
      <w:divBdr>
        <w:top w:val="none" w:sz="0" w:space="0" w:color="auto"/>
        <w:left w:val="none" w:sz="0" w:space="0" w:color="auto"/>
        <w:bottom w:val="none" w:sz="0" w:space="0" w:color="auto"/>
        <w:right w:val="none" w:sz="0" w:space="0" w:color="auto"/>
      </w:divBdr>
    </w:div>
    <w:div w:id="1120565547">
      <w:bodyDiv w:val="1"/>
      <w:marLeft w:val="0"/>
      <w:marRight w:val="0"/>
      <w:marTop w:val="0"/>
      <w:marBottom w:val="0"/>
      <w:divBdr>
        <w:top w:val="none" w:sz="0" w:space="0" w:color="auto"/>
        <w:left w:val="none" w:sz="0" w:space="0" w:color="auto"/>
        <w:bottom w:val="none" w:sz="0" w:space="0" w:color="auto"/>
        <w:right w:val="none" w:sz="0" w:space="0" w:color="auto"/>
      </w:divBdr>
    </w:div>
    <w:div w:id="1141119874">
      <w:bodyDiv w:val="1"/>
      <w:marLeft w:val="0"/>
      <w:marRight w:val="0"/>
      <w:marTop w:val="0"/>
      <w:marBottom w:val="0"/>
      <w:divBdr>
        <w:top w:val="none" w:sz="0" w:space="0" w:color="auto"/>
        <w:left w:val="none" w:sz="0" w:space="0" w:color="auto"/>
        <w:bottom w:val="none" w:sz="0" w:space="0" w:color="auto"/>
        <w:right w:val="none" w:sz="0" w:space="0" w:color="auto"/>
      </w:divBdr>
    </w:div>
    <w:div w:id="1153984177">
      <w:bodyDiv w:val="1"/>
      <w:marLeft w:val="0"/>
      <w:marRight w:val="0"/>
      <w:marTop w:val="0"/>
      <w:marBottom w:val="0"/>
      <w:divBdr>
        <w:top w:val="none" w:sz="0" w:space="0" w:color="auto"/>
        <w:left w:val="none" w:sz="0" w:space="0" w:color="auto"/>
        <w:bottom w:val="none" w:sz="0" w:space="0" w:color="auto"/>
        <w:right w:val="none" w:sz="0" w:space="0" w:color="auto"/>
      </w:divBdr>
    </w:div>
    <w:div w:id="1371959548">
      <w:bodyDiv w:val="1"/>
      <w:marLeft w:val="0"/>
      <w:marRight w:val="0"/>
      <w:marTop w:val="0"/>
      <w:marBottom w:val="0"/>
      <w:divBdr>
        <w:top w:val="none" w:sz="0" w:space="0" w:color="auto"/>
        <w:left w:val="none" w:sz="0" w:space="0" w:color="auto"/>
        <w:bottom w:val="none" w:sz="0" w:space="0" w:color="auto"/>
        <w:right w:val="none" w:sz="0" w:space="0" w:color="auto"/>
      </w:divBdr>
    </w:div>
    <w:div w:id="1383753840">
      <w:bodyDiv w:val="1"/>
      <w:marLeft w:val="0"/>
      <w:marRight w:val="0"/>
      <w:marTop w:val="0"/>
      <w:marBottom w:val="0"/>
      <w:divBdr>
        <w:top w:val="none" w:sz="0" w:space="0" w:color="auto"/>
        <w:left w:val="none" w:sz="0" w:space="0" w:color="auto"/>
        <w:bottom w:val="none" w:sz="0" w:space="0" w:color="auto"/>
        <w:right w:val="none" w:sz="0" w:space="0" w:color="auto"/>
      </w:divBdr>
    </w:div>
    <w:div w:id="1406493381">
      <w:bodyDiv w:val="1"/>
      <w:marLeft w:val="0"/>
      <w:marRight w:val="0"/>
      <w:marTop w:val="0"/>
      <w:marBottom w:val="0"/>
      <w:divBdr>
        <w:top w:val="none" w:sz="0" w:space="0" w:color="auto"/>
        <w:left w:val="none" w:sz="0" w:space="0" w:color="auto"/>
        <w:bottom w:val="none" w:sz="0" w:space="0" w:color="auto"/>
        <w:right w:val="none" w:sz="0" w:space="0" w:color="auto"/>
      </w:divBdr>
    </w:div>
    <w:div w:id="1594046314">
      <w:bodyDiv w:val="1"/>
      <w:marLeft w:val="0"/>
      <w:marRight w:val="0"/>
      <w:marTop w:val="0"/>
      <w:marBottom w:val="0"/>
      <w:divBdr>
        <w:top w:val="none" w:sz="0" w:space="0" w:color="auto"/>
        <w:left w:val="none" w:sz="0" w:space="0" w:color="auto"/>
        <w:bottom w:val="none" w:sz="0" w:space="0" w:color="auto"/>
        <w:right w:val="none" w:sz="0" w:space="0" w:color="auto"/>
      </w:divBdr>
    </w:div>
    <w:div w:id="1805391239">
      <w:bodyDiv w:val="1"/>
      <w:marLeft w:val="0"/>
      <w:marRight w:val="0"/>
      <w:marTop w:val="0"/>
      <w:marBottom w:val="0"/>
      <w:divBdr>
        <w:top w:val="none" w:sz="0" w:space="0" w:color="auto"/>
        <w:left w:val="none" w:sz="0" w:space="0" w:color="auto"/>
        <w:bottom w:val="none" w:sz="0" w:space="0" w:color="auto"/>
        <w:right w:val="none" w:sz="0" w:space="0" w:color="auto"/>
      </w:divBdr>
      <w:divsChild>
        <w:div w:id="1141800564">
          <w:marLeft w:val="225"/>
          <w:marRight w:val="225"/>
          <w:marTop w:val="225"/>
          <w:marBottom w:val="225"/>
          <w:divBdr>
            <w:top w:val="none" w:sz="0" w:space="0" w:color="auto"/>
            <w:left w:val="none" w:sz="0" w:space="0" w:color="auto"/>
            <w:bottom w:val="none" w:sz="0" w:space="0" w:color="auto"/>
            <w:right w:val="none" w:sz="0" w:space="0" w:color="auto"/>
          </w:divBdr>
        </w:div>
        <w:div w:id="1160735397">
          <w:marLeft w:val="150"/>
          <w:marRight w:val="150"/>
          <w:marTop w:val="105"/>
          <w:marBottom w:val="105"/>
          <w:divBdr>
            <w:top w:val="none" w:sz="0" w:space="0" w:color="auto"/>
            <w:left w:val="none" w:sz="0" w:space="0" w:color="auto"/>
            <w:bottom w:val="none" w:sz="0" w:space="0" w:color="auto"/>
            <w:right w:val="none" w:sz="0" w:space="0" w:color="auto"/>
          </w:divBdr>
        </w:div>
      </w:divsChild>
    </w:div>
    <w:div w:id="1838497576">
      <w:bodyDiv w:val="1"/>
      <w:marLeft w:val="0"/>
      <w:marRight w:val="0"/>
      <w:marTop w:val="0"/>
      <w:marBottom w:val="0"/>
      <w:divBdr>
        <w:top w:val="none" w:sz="0" w:space="0" w:color="auto"/>
        <w:left w:val="none" w:sz="0" w:space="0" w:color="auto"/>
        <w:bottom w:val="none" w:sz="0" w:space="0" w:color="auto"/>
        <w:right w:val="none" w:sz="0" w:space="0" w:color="auto"/>
      </w:divBdr>
    </w:div>
    <w:div w:id="1839616565">
      <w:bodyDiv w:val="1"/>
      <w:marLeft w:val="0"/>
      <w:marRight w:val="0"/>
      <w:marTop w:val="0"/>
      <w:marBottom w:val="0"/>
      <w:divBdr>
        <w:top w:val="none" w:sz="0" w:space="0" w:color="auto"/>
        <w:left w:val="none" w:sz="0" w:space="0" w:color="auto"/>
        <w:bottom w:val="none" w:sz="0" w:space="0" w:color="auto"/>
        <w:right w:val="none" w:sz="0" w:space="0" w:color="auto"/>
      </w:divBdr>
    </w:div>
    <w:div w:id="1924411230">
      <w:bodyDiv w:val="1"/>
      <w:marLeft w:val="0"/>
      <w:marRight w:val="0"/>
      <w:marTop w:val="0"/>
      <w:marBottom w:val="0"/>
      <w:divBdr>
        <w:top w:val="none" w:sz="0" w:space="0" w:color="auto"/>
        <w:left w:val="none" w:sz="0" w:space="0" w:color="auto"/>
        <w:bottom w:val="none" w:sz="0" w:space="0" w:color="auto"/>
        <w:right w:val="none" w:sz="0" w:space="0" w:color="auto"/>
      </w:divBdr>
      <w:divsChild>
        <w:div w:id="865218433">
          <w:marLeft w:val="225"/>
          <w:marRight w:val="225"/>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0F6950EDA8F47A46314C369264404518685BC9DCFAE58E1B1D19C20F7A6E3BFC1ECFB9D775F57DDu8t5M" TargetMode="External"/><Relationship Id="rId4" Type="http://schemas.openxmlformats.org/officeDocument/2006/relationships/hyperlink" Target="consultantplus://offline/ref=5A2B21F78B2F31D72FACF92302DA405CADC8AAEF9188A0943C342672F7uBI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4630</Words>
  <Characters>26396</Characters>
  <Application>Microsoft Office Word</Application>
  <DocSecurity>0</DocSecurity>
  <Lines>219</Lines>
  <Paragraphs>61</Paragraphs>
  <ScaleCrop>false</ScaleCrop>
  <Company>diakov.net</Company>
  <LinksUpToDate>false</LinksUpToDate>
  <CharactersWithSpaces>30965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21</cp:revision>
  <dcterms:created xsi:type="dcterms:W3CDTF">2021-08-10T02:26:00Z</dcterms:created>
  <dcterms:modified xsi:type="dcterms:W3CDTF">2021-08-10T02:55:00Z</dcterms:modified>
</cp:coreProperties>
</file>