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Пост-релиз Межрайонной ИФНС России № 16 по Иркутской области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Налоговые органы разъяснили порядок представления федеральных и региональных льгот по имущественным налогам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Завершилась информационная кампания по информированию граждан и организаций о налоговых льготах при налогообложении имущества за 2020 год. В прошлом году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Межрайонной ИФНС России № 16 по Иркутской области</w:t>
      </w:r>
      <w:r>
        <w:rPr>
          <w:rFonts w:ascii="Palatino Linotype" w:hAnsi="Palatino Linotype"/>
          <w:color w:val="000000"/>
          <w:sz w:val="21"/>
          <w:szCs w:val="21"/>
        </w:rPr>
        <w:t>налогоплательщикам – физическим лицам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направлено 81.9 тыс</w:t>
      </w:r>
      <w:r>
        <w:rPr>
          <w:rFonts w:ascii="Palatino Linotype" w:hAnsi="Palatino Linotype"/>
          <w:color w:val="000000"/>
          <w:sz w:val="21"/>
          <w:szCs w:val="21"/>
        </w:rPr>
        <w:t>. налоговых уведомлений на уплату более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300 млн. рублей</w:t>
      </w:r>
      <w:r>
        <w:rPr>
          <w:rFonts w:ascii="Palatino Linotype" w:hAnsi="Palatino Linotype"/>
          <w:color w:val="000000"/>
          <w:sz w:val="21"/>
          <w:szCs w:val="21"/>
        </w:rPr>
        <w:t> имущественных налогов. Кроме того, предоставлены льготы по транспортному налогу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3.8</w:t>
      </w:r>
      <w:r>
        <w:rPr>
          <w:rFonts w:ascii="Palatino Linotype" w:hAnsi="Palatino Linotype"/>
          <w:color w:val="000000"/>
          <w:sz w:val="21"/>
          <w:szCs w:val="21"/>
        </w:rPr>
        <w:t> тыс. граждан (на общую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сумму 2846 тыс. рублей</w:t>
      </w:r>
      <w:r>
        <w:rPr>
          <w:rFonts w:ascii="Palatino Linotype" w:hAnsi="Palatino Linotype"/>
          <w:color w:val="000000"/>
          <w:sz w:val="21"/>
          <w:szCs w:val="21"/>
        </w:rPr>
        <w:t>), по земельному налогу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16.7 тыс</w:t>
      </w:r>
      <w:r>
        <w:rPr>
          <w:rFonts w:ascii="Palatino Linotype" w:hAnsi="Palatino Linotype"/>
          <w:color w:val="000000"/>
          <w:sz w:val="21"/>
          <w:szCs w:val="21"/>
        </w:rPr>
        <w:t>. граждан (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8174</w:t>
      </w:r>
      <w:r>
        <w:rPr>
          <w:rFonts w:ascii="Palatino Linotype" w:hAnsi="Palatino Linotype"/>
          <w:color w:val="000000"/>
          <w:sz w:val="21"/>
          <w:szCs w:val="21"/>
        </w:rPr>
        <w:t> тыс.рублей), по налогу на имущество физических лиц –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17.5</w:t>
      </w:r>
      <w:r>
        <w:rPr>
          <w:rFonts w:ascii="Palatino Linotype" w:hAnsi="Palatino Linotype"/>
          <w:color w:val="000000"/>
          <w:sz w:val="21"/>
          <w:szCs w:val="21"/>
        </w:rPr>
        <w:t> тыс. граждан (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49984 тыс.</w:t>
      </w:r>
      <w:r>
        <w:rPr>
          <w:rFonts w:ascii="Palatino Linotype" w:hAnsi="Palatino Linotype"/>
          <w:color w:val="000000"/>
          <w:sz w:val="21"/>
          <w:szCs w:val="21"/>
        </w:rPr>
        <w:t> рублей). В 2021 году льготы по земельному и транспортному налогам подтверждены по 20заявлениям юридических лиц.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этом году исчисление налога на имущество в Иркутской области впервые осуществляется в зависимости от кадастровой стоимости имущества. Налоговые органы разъясняли  налогоплательщикам порядок исчисления налога и предоставления вычетов. Налоговая база в отношении жилых объектов уменьшается на величину кадастровой стоимости: квартира, часть дома – 20 м</w:t>
      </w:r>
      <w:r>
        <w:rPr>
          <w:rFonts w:ascii="Palatino Linotype" w:hAnsi="Palatino Linotype"/>
          <w:color w:val="000000"/>
          <w:sz w:val="21"/>
          <w:szCs w:val="21"/>
          <w:vertAlign w:val="superscript"/>
        </w:rPr>
        <w:t>2</w:t>
      </w:r>
      <w:r>
        <w:rPr>
          <w:rFonts w:ascii="Palatino Linotype" w:hAnsi="Palatino Linotype"/>
          <w:color w:val="000000"/>
          <w:sz w:val="21"/>
          <w:szCs w:val="21"/>
        </w:rPr>
        <w:t>, комната, часть квартиры - 10м</w:t>
      </w:r>
      <w:r>
        <w:rPr>
          <w:rFonts w:ascii="Palatino Linotype" w:hAnsi="Palatino Linotype"/>
          <w:color w:val="000000"/>
          <w:sz w:val="21"/>
          <w:szCs w:val="21"/>
          <w:vertAlign w:val="superscript"/>
        </w:rPr>
        <w:t>2</w:t>
      </w:r>
      <w:r>
        <w:rPr>
          <w:rFonts w:ascii="Palatino Linotype" w:hAnsi="Palatino Linotype"/>
          <w:color w:val="000000"/>
          <w:sz w:val="21"/>
          <w:szCs w:val="21"/>
        </w:rPr>
        <w:t>,дом – 50 м</w:t>
      </w:r>
      <w:r>
        <w:rPr>
          <w:rFonts w:ascii="Palatino Linotype" w:hAnsi="Palatino Linotype"/>
          <w:color w:val="000000"/>
          <w:sz w:val="21"/>
          <w:szCs w:val="21"/>
          <w:vertAlign w:val="superscript"/>
        </w:rPr>
        <w:t>2</w:t>
      </w:r>
      <w:r>
        <w:rPr>
          <w:rFonts w:ascii="Palatino Linotype" w:hAnsi="Palatino Linotype"/>
          <w:color w:val="000000"/>
          <w:sz w:val="21"/>
          <w:szCs w:val="21"/>
        </w:rPr>
        <w:t>. Для многодетных семей предусмотрен общий вычет - 7 м</w:t>
      </w:r>
      <w:r>
        <w:rPr>
          <w:rFonts w:ascii="Palatino Linotype" w:hAnsi="Palatino Linotype"/>
          <w:color w:val="000000"/>
          <w:sz w:val="21"/>
          <w:szCs w:val="21"/>
          <w:vertAlign w:val="superscript"/>
        </w:rPr>
        <w:t>2</w:t>
      </w:r>
      <w:r>
        <w:rPr>
          <w:rFonts w:ascii="Palatino Linotype" w:hAnsi="Palatino Linotype"/>
          <w:color w:val="000000"/>
          <w:sz w:val="21"/>
          <w:szCs w:val="21"/>
        </w:rPr>
        <w:t>и на каждого несовершеннолетнего ребенка - 5м</w:t>
      </w:r>
      <w:r>
        <w:rPr>
          <w:rFonts w:ascii="Palatino Linotype" w:hAnsi="Palatino Linotype"/>
          <w:color w:val="000000"/>
          <w:sz w:val="21"/>
          <w:szCs w:val="21"/>
          <w:vertAlign w:val="superscript"/>
        </w:rPr>
        <w:t>2</w:t>
      </w:r>
      <w:r>
        <w:rPr>
          <w:rFonts w:ascii="Palatino Linotype" w:hAnsi="Palatino Linotype"/>
          <w:color w:val="000000"/>
          <w:sz w:val="21"/>
          <w:szCs w:val="21"/>
        </w:rPr>
        <w:t>. У граждан возникали вопросы по предоставлению льгот: они сохраняются в полном объеме, независимо от того, что налог рассчитывается от кадастровой  стоимости имущества. Льгота по-прежнему предоставляется в отношении только одного объекта каждого вида имущества.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Граждане активно интересовались введенными в этом году льготами по транспортному налогу для экологичных автомобилей, работающих на газе или приводимых в движение электрическими двигателями. Такой льготой могут пользоваться также индивидуальные предприниматели и организации. Для ее получения в налоговый орган необходимо представить копию паспорта транспортного средства. Граждане - владельцы легковых автомобилей мощностью двигателя до 150 л.с. уплачивают налог в половинном размере (50%). Льгота в таком же размере предусмотрена за 2020 год для организаций и индивидуальных предпринимателей, осуществляющих деятельность в пострадавших от коронавируса отраслях (в отношении транспортных средств, зарегистрированных до 01.03.2021).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Подробно о  применяемых ставках, льготах и категориях налогоплательщиков, которым они предоставляются, можно узнать с помощью сервиса «Справочная информация о ставках и льготах по имущественным налогам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» </w:t>
      </w:r>
      <w:r>
        <w:rPr>
          <w:rFonts w:ascii="Palatino Linotype" w:hAnsi="Palatino Linotype"/>
          <w:color w:val="000000"/>
          <w:sz w:val="21"/>
          <w:szCs w:val="21"/>
        </w:rPr>
        <w:t>на сайте ФНС России, граждане, индивидуальные предприниматели и юридические лица могут задать интересующие их вопросы в «Личном кабинете налогоплательщика».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4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https://www.nalog.ru/rn38/service/tax/</w:t>
        </w:r>
      </w:hyperlink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https://lkfl2.nalog.ru/lkfl/login</w:t>
        </w:r>
      </w:hyperlink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6" w:history="1">
        <w:r>
          <w:rPr>
            <w:rStyle w:val="a6"/>
            <w:rFonts w:ascii="Palatino Linotype" w:hAnsi="Palatino Linotype"/>
            <w:sz w:val="21"/>
            <w:szCs w:val="21"/>
          </w:rPr>
          <w:t>https://lkip.nalog.ru/</w:t>
        </w:r>
      </w:hyperlink>
    </w:p>
    <w:p w:rsidR="008F495C" w:rsidRDefault="008F495C" w:rsidP="008F495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7" w:history="1">
        <w:r>
          <w:rPr>
            <w:rStyle w:val="a6"/>
            <w:rFonts w:ascii="Palatino Linotype" w:hAnsi="Palatino Linotype"/>
            <w:sz w:val="21"/>
            <w:szCs w:val="21"/>
          </w:rPr>
          <w:t>http://lkul.nalog.ru/</w:t>
        </w:r>
      </w:hyperlink>
    </w:p>
    <w:p w:rsidR="003554B0" w:rsidRPr="008F495C" w:rsidRDefault="008F495C" w:rsidP="008F495C">
      <w:bookmarkStart w:id="0" w:name="_GoBack"/>
      <w:bookmarkEnd w:id="0"/>
    </w:p>
    <w:sectPr w:rsidR="003554B0" w:rsidRPr="008F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52AAD"/>
    <w:rsid w:val="005875AF"/>
    <w:rsid w:val="00610E18"/>
    <w:rsid w:val="006E0C22"/>
    <w:rsid w:val="0084721D"/>
    <w:rsid w:val="0085017C"/>
    <w:rsid w:val="008F495C"/>
    <w:rsid w:val="0092799F"/>
    <w:rsid w:val="009E1C38"/>
    <w:rsid w:val="009F1988"/>
    <w:rsid w:val="009F7CEB"/>
    <w:rsid w:val="00B633CD"/>
    <w:rsid w:val="00BB70C1"/>
    <w:rsid w:val="00BE1AB8"/>
    <w:rsid w:val="00E44409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kul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ip.nalog.ru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hyperlink" Target="https://www.nalog.ru/rn38/service/ta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</cp:revision>
  <dcterms:created xsi:type="dcterms:W3CDTF">2021-08-20T01:07:00Z</dcterms:created>
  <dcterms:modified xsi:type="dcterms:W3CDTF">2021-08-20T02:12:00Z</dcterms:modified>
</cp:coreProperties>
</file>