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E5" w:rsidRPr="00C739E5" w:rsidRDefault="00C739E5" w:rsidP="00C739E5">
      <w:pPr>
        <w:shd w:val="clear" w:color="auto" w:fill="F3F5FC"/>
        <w:spacing w:line="315" w:lineRule="atLeast"/>
        <w:ind w:left="105" w:right="105" w:firstLine="375"/>
        <w:jc w:val="center"/>
        <w:rPr>
          <w:rFonts w:ascii="Palatino Linotype" w:hAnsi="Palatino Linotype"/>
          <w:color w:val="000000"/>
          <w:sz w:val="21"/>
          <w:szCs w:val="21"/>
        </w:rPr>
      </w:pPr>
      <w:r w:rsidRPr="00C739E5">
        <w:rPr>
          <w:rFonts w:ascii="Palatino Linotype" w:hAnsi="Palatino Linotype"/>
          <w:color w:val="000000"/>
          <w:sz w:val="21"/>
          <w:szCs w:val="21"/>
        </w:rPr>
        <w:t>2019 год</w:t>
      </w:r>
    </w:p>
    <w:p w:rsidR="00C739E5" w:rsidRPr="00C739E5" w:rsidRDefault="00C739E5" w:rsidP="00C739E5">
      <w:pPr>
        <w:shd w:val="clear" w:color="auto" w:fill="F3F5FC"/>
        <w:spacing w:line="315" w:lineRule="atLeast"/>
        <w:ind w:left="105" w:right="105" w:firstLine="375"/>
        <w:jc w:val="center"/>
        <w:rPr>
          <w:rFonts w:ascii="Palatino Linotype" w:hAnsi="Palatino Linotype"/>
          <w:color w:val="000000"/>
          <w:sz w:val="21"/>
          <w:szCs w:val="21"/>
        </w:rPr>
      </w:pPr>
      <w:r w:rsidRPr="00C739E5">
        <w:rPr>
          <w:rFonts w:ascii="Palatino Linotype" w:hAnsi="Palatino Linotype"/>
          <w:i/>
          <w:iCs/>
          <w:color w:val="000000"/>
          <w:sz w:val="21"/>
          <w:szCs w:val="21"/>
        </w:rPr>
        <w:t>Экспертиза проектов решений «О внесении изменений и дополнений в решение Думы муниципальных образований «О бюджете поселения на 2019 год и плановый период 2020 и 2021 годов»</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11.02.2019 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В итоговом заключении отмечалось о необходимости уточнения наименований мероприятий по отдельным разделам подразделам, поскольку не соответствуют данным пояснительной записки. Также отмечались отдельные замечания к муниципальной программе.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18.02.2019 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18.02.2019 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19.02.2019 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По результатам экспертизы указывалось на необходимость указать в пункте 5 проекта решения объем дорожного фонда с учетом введенного остатка на 01.01.2019г. Дополнить проект решения пунктом, уточняющим объем бюджетных ассигнований на исполнение публичных нормативных обязательств в связи с уменьшением их по коду раздела подраздела1001. Также предлагалось уточнить итоговые показатели объема бюджетных ассигнований в связи с не включением в них суммы по кодам раздела подраздела 0104 и вида расхода 850. В части расходов по восстановлению двухквартирного жилого дома после пожара указывалось на необходимость отнести их на код вида расхода 243.</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21.02.2019 </w:t>
      </w:r>
      <w:r w:rsidRPr="00C739E5">
        <w:rPr>
          <w:rFonts w:ascii="Palatino Linotype" w:hAnsi="Palatino Linotype"/>
          <w:color w:val="000000"/>
          <w:sz w:val="21"/>
          <w:szCs w:val="21"/>
        </w:rPr>
        <w:t xml:space="preserve">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В итоговом заключении отмечалось, что согласно представленной служебной записки от отдела администрации работы в 2018 году по двум муниципальным контрактам не завершены.  Исходя из пункта 3.1 контрактов работы должны были быть выполнены в течение 60 дней и 120 дней, или до 14.07.2018г. и 30.10.2018г. соответственно.  В силу пункта 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Пунктом 5.2.6 предусмотрены обязанности заказчика, а именно: не позднее 60 (шестидесяти) рабочих дней с даты фактического исполнения обязательств Исполнителем принять необходимые меры по взысканию неустойки (пени) за весь период просрочки исполнения обязательств, </w:t>
      </w:r>
      <w:r w:rsidRPr="00C739E5">
        <w:rPr>
          <w:rFonts w:ascii="Palatino Linotype" w:hAnsi="Palatino Linotype"/>
          <w:color w:val="000000"/>
          <w:sz w:val="21"/>
          <w:szCs w:val="21"/>
        </w:rPr>
        <w:lastRenderedPageBreak/>
        <w:t>предусмотренных Контрактом, а именно потребовать оплаты неустойки (пени), рассчитанной в соответствии с законодательством Российской Федерации и условиями Контракта за весь период просрочки исполнения, либо вычесть соответствующий размер пени (неустойки) из суммы, подлежащей оплате по Контракту. Таким образом, указывалось, что в бюджете бюджетные ассигнования на оплату выполненных работ могут быть предусмотрены в уменьшенном объеме на величину пеней за просрочку исполнения обязательств с учетом имеющихся на сегодняшний день обстоятельств. Также отмечалось, что Заказчики не воспользовались своими правами по части 2 ст. 715 ГК РФ, согласно которой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27.02.2019 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19.03.2019 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Отмечалось о том что, не указан код вида расхода по разделу 1403.</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22.03.2019 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Установлены отдельные замечания к итоговым показателям приложения № 7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22.03.2019 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В итоговом заключении отмечалось, что бюджетные ассигнования на приобретение автомобиля для осуществления внутрипоселковых перевозок следует отнести в силу Приказа Минфина РФ от 08.06.2018г. № 132н «О порядке формирования и применения кодов бюджетной классификации РФ, их структуре и принципах назначения» на раздел 0408 «Транспорт» (планировались на раздел 0503 «Благоустройство»).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01.04.2019 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По результатам экспертизы указывалось на необходимость дополнения проекта решения пунктом уточняющим объем бюджетных ассигнований дорожного фонда за счет остатка.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11.04.2019 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Замечаний к проекту решения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19.04.2019 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Замечаний к проекту решения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22.04.2019 </w:t>
      </w:r>
      <w:r w:rsidRPr="00C739E5">
        <w:rPr>
          <w:rFonts w:ascii="Palatino Linotype" w:hAnsi="Palatino Linotype"/>
          <w:color w:val="000000"/>
          <w:sz w:val="21"/>
          <w:szCs w:val="21"/>
        </w:rPr>
        <w:t xml:space="preserve">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В Заключении отмечалось о необходимости дополнить проект </w:t>
      </w:r>
      <w:r w:rsidRPr="00C739E5">
        <w:rPr>
          <w:rFonts w:ascii="Palatino Linotype" w:hAnsi="Palatino Linotype"/>
          <w:color w:val="000000"/>
          <w:sz w:val="21"/>
          <w:szCs w:val="21"/>
        </w:rPr>
        <w:lastRenderedPageBreak/>
        <w:t>решения пунктом, уточняющим объем бюджетных ассигнований дорожного фонда на 2019 год, уточнить размер дефицита, а также дополнить проект решения приложением об источниках дефицита и другие замечания.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29.04.2019 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Отмечалось о необходимости исключения отдельных показателей проекта решения поскольку не меняются, уточнить отдельные коды целевой статьи расхода в приложениях к проекту решения. По представленным постановлениям Главы «О внесении изменений и дополнений в решение «О бюджете сельского поселения на 2019 год и плановый период 2020 и 2021 годов» отмечалось, что они приняты за пределами компетенции Главы, поскольку утверждение местного бюджета в силу пункта 2части 10 статьи 35 Федерального закона от 06.10.2003г. № 131-ФЗ находится в исключительной компетенции представительного органа местного самоуправления. В силу ст. 217 БК РФ финансовые органы (органы (должностные лица) местных администраций муниципальных образований, осуществляющие составление и организацию исполнения местных бюджетов) должны вести сводные бюджетные росписи и вносить изменения в сводную бюджетную роспись в пределах полномочий, предусмотренных статьей 217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29.04.2019 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сельского поселения на 2019 год и плановый период 2020 и 2021 годов». Замечаний к проекту решения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30.04.2019 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сельского поселения на 2019 год и плановый период 2020 и 2021 годов». Установлены отдельные замечания к проекту решения в части процента дефицита, а также уточнения отдельных КБК и наименований по КБК в приложениях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20.05.2019 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сельского поселения на 2019 год и плановый период 2020 и 2021 годов». Установлены замечания к показателям Приложения № 1 к проекту решения в части несоответствия отдельных кодов доходов Инструкции № 132н, а также уточнения отдельных итоговых показателей в Приложениях № 5, 7, 9.</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22.05.2019 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Замечаний в ходе проведения экспертизы не установлены.</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28.05.2019 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30.05.2019 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30.05.2019</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30.05.2019 </w:t>
      </w:r>
      <w:r w:rsidRPr="00C739E5">
        <w:rPr>
          <w:rFonts w:ascii="Palatino Linotype" w:hAnsi="Palatino Linotype"/>
          <w:color w:val="000000"/>
          <w:sz w:val="21"/>
          <w:szCs w:val="21"/>
        </w:rPr>
        <w:t xml:space="preserve">Приведена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Установлены замечания в части планирования доходов в </w:t>
      </w:r>
      <w:r w:rsidRPr="00C739E5">
        <w:rPr>
          <w:rFonts w:ascii="Palatino Linotype" w:hAnsi="Palatino Linotype"/>
          <w:color w:val="000000"/>
          <w:sz w:val="21"/>
          <w:szCs w:val="21"/>
        </w:rPr>
        <w:lastRenderedPageBreak/>
        <w:t>завышенном объеме в нарушение ст. 37 «принцип достоверности бюджета» Бюджетного кодекса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03.06.2019 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Установлены замечания к отдельным итоговым показателям приложения № 7, 9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04.06.2019 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Установлены отдельные замечания к наименованиям и кодам видов расходов в приложениях № 4, 8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05.06.2019 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Установлены замечания в части планирования доходов в завышенном объеме в нарушение ст. 37 «принцип достоверности бюджета» Бюджетного кодекса РФ. Также установлены отдельные замечания к итоговым показателям по отдельным кодам бюджетной классификации в приложениях № 3, 7 и 9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10.06.2019 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Указывалось уточнить отдельные коды доходов в приложении №1 к проекту решения, уточнить раздел подраздел по отдельным показателям Приложения № 7 и 9. В пояснительной записке к проекту решения по КБК не указано экономическое содержание предлагаемых распределений, что не позволяет оценить достоверность применения кодов бюджетной классификации расходов.</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11.06.2019 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В ходе проведения экспертизы замечаний не установлены.</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17.06.2019 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В ходе проведения экспертизы замечаний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20.06.2019 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«О бюджете муниципального образования на 2019 год и плановый период 2020 и 2021 годов». Отмечалось, что в пояснительной записке к проекту решения необходимо уточнить код целевой статьи расхода и объем бюджетных ассигнований по межбюджетному трансферту, поскольку не соответствует данным приложения № 7.</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27.06.2019 </w:t>
      </w:r>
      <w:r w:rsidRPr="00C739E5">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Отмечалось о необходимости уточнения процента дефицита с учетом изменений по налоговым и неналоговым доходам, уточнить код вида расходов по отдельным строкам Приложения № 9. Установлены отдельные замечания к муниципальной программе.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28.06.2019 </w:t>
      </w:r>
      <w:r w:rsidRPr="00C739E5">
        <w:rPr>
          <w:rFonts w:ascii="Palatino Linotype" w:hAnsi="Palatino Linotype"/>
          <w:color w:val="000000"/>
          <w:sz w:val="21"/>
          <w:szCs w:val="21"/>
        </w:rPr>
        <w:t xml:space="preserve">Проведена экспертиза проекта решения Думы «О внесении изменений и дополнений в решение Думы «О бюджете муниципального образования на 2019 год и плановый период 2020 и 2021 годов». Установлены замечания к размеру дефицита в процентах. В связи с увеличением бюджетных ассигнований по публично-нормативным обязательствам необходимо дополнить проект бюджета пунктом, уточняющим объем, предусмотренный предыдущим решением. В приложении № 7 не указан элемент кода вида </w:t>
      </w:r>
      <w:r w:rsidRPr="00C739E5">
        <w:rPr>
          <w:rFonts w:ascii="Palatino Linotype" w:hAnsi="Palatino Linotype"/>
          <w:color w:val="000000"/>
          <w:sz w:val="21"/>
          <w:szCs w:val="21"/>
        </w:rPr>
        <w:lastRenderedPageBreak/>
        <w:t>расхода.  В пояснительной записке не полное отражение по производимым изменения в проекте бюджета.</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center"/>
        <w:rPr>
          <w:rFonts w:ascii="Palatino Linotype" w:hAnsi="Palatino Linotype"/>
          <w:color w:val="000000"/>
          <w:sz w:val="21"/>
          <w:szCs w:val="21"/>
        </w:rPr>
      </w:pPr>
      <w:r w:rsidRPr="00C739E5">
        <w:rPr>
          <w:rFonts w:ascii="Palatino Linotype" w:hAnsi="Palatino Linotype"/>
          <w:i/>
          <w:iCs/>
          <w:color w:val="000000"/>
          <w:sz w:val="21"/>
          <w:szCs w:val="21"/>
        </w:rPr>
        <w:t>Экспертиза проектовнормативных правовых актов регулирующих бюджетные правоотношения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24.06.2019 </w:t>
      </w:r>
      <w:r w:rsidRPr="00C739E5">
        <w:rPr>
          <w:rFonts w:ascii="Palatino Linotype" w:hAnsi="Palatino Linotype"/>
          <w:color w:val="000000"/>
          <w:sz w:val="21"/>
          <w:szCs w:val="21"/>
        </w:rPr>
        <w:t>Проведена экспертиза проекта постановления главы Администрации Усть-Удинского район «Об утверждении Положения о порядке принятия решений о разработке муниципальных программ РМО «Усть-Удинский район» их формирования и реализации». Замечаний к проекту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center"/>
        <w:rPr>
          <w:rFonts w:ascii="Palatino Linotype" w:hAnsi="Palatino Linotype"/>
          <w:color w:val="000000"/>
          <w:sz w:val="21"/>
          <w:szCs w:val="21"/>
        </w:rPr>
      </w:pPr>
      <w:r w:rsidRPr="00C739E5">
        <w:rPr>
          <w:rFonts w:ascii="Palatino Linotype" w:hAnsi="Palatino Linotype"/>
          <w:i/>
          <w:iCs/>
          <w:color w:val="000000"/>
          <w:sz w:val="21"/>
          <w:szCs w:val="21"/>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районного муниципального образования и муниципальных образований района</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13.02.2019 </w:t>
      </w:r>
      <w:r w:rsidRPr="00C739E5">
        <w:rPr>
          <w:rFonts w:ascii="Palatino Linotype" w:hAnsi="Palatino Linotype"/>
          <w:color w:val="000000"/>
          <w:sz w:val="21"/>
          <w:szCs w:val="21"/>
        </w:rPr>
        <w:t>Проведена экспертиза проекта решения Думы об утверждении структуры администрации  муниципального образования. Отмечалось, что проект решения необходимо изложить как о внесении изменений в решение Думы об утверждении структуры.</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13.02.2019 </w:t>
      </w:r>
      <w:r w:rsidRPr="00C739E5">
        <w:rPr>
          <w:rFonts w:ascii="Palatino Linotype" w:hAnsi="Palatino Linotype"/>
          <w:color w:val="000000"/>
          <w:sz w:val="21"/>
          <w:szCs w:val="21"/>
        </w:rPr>
        <w:t>Проведена экспертиза проекта постановления администрации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Указывалось на необходимость исключения ссылки на указ Губернатора (указать постановление администрации), а также приведения в соответствие отдельные нормы положения с нормами Указа Губернатора № 246-уг от 22.09.2011г.</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14.02.2019 </w:t>
      </w:r>
      <w:r w:rsidRPr="00C739E5">
        <w:rPr>
          <w:rFonts w:ascii="Palatino Linotype" w:hAnsi="Palatino Linotype"/>
          <w:color w:val="000000"/>
          <w:sz w:val="21"/>
          <w:szCs w:val="21"/>
        </w:rPr>
        <w:t>Проведена экспертиза проекта решения Думы «Об утверждении должностных окладов и ежемесячного денежного поощрения, внесении изменений в Положение «Об оплате труда муниципальных служащих муниципального образования». Указывалось, что представленным проектом решения учтены замечания изложенные в заключении от 24.12.2018г. Также отмечалось, что при определении должностных окладов по фонду оплаты труда на год необходимо исходить из расчета 74,5 должностных окладов Правительства Иркутской области от 27.11.2014г. № 599-пп.</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14.02.2019 </w:t>
      </w:r>
      <w:r w:rsidRPr="00C739E5">
        <w:rPr>
          <w:rFonts w:ascii="Palatino Linotype" w:hAnsi="Palatino Linotype"/>
          <w:color w:val="000000"/>
          <w:sz w:val="21"/>
          <w:szCs w:val="21"/>
        </w:rPr>
        <w:t>Проведена экспертиза проекта решения Думы об утверждении структуры администрации муниципального образования. Замечаний в ходе проведения экспертизы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22.03.2019 </w:t>
      </w:r>
      <w:r w:rsidRPr="00C739E5">
        <w:rPr>
          <w:rFonts w:ascii="Palatino Linotype" w:hAnsi="Palatino Linotype"/>
          <w:color w:val="000000"/>
          <w:sz w:val="21"/>
          <w:szCs w:val="21"/>
        </w:rPr>
        <w:t>Проведена экспертиза проекта решения Думы о внесении изменений и в положение об оплате труда главы администрации муниципального образования. В итоговом заключении отмечалось, что в нарушение части 2 ст. 83 БК РФ источником дополнительных поступлений по увеличению расходных обязательств указаны субвенции на выплату заработной платы, которые не предусмотрены ни местным бюджетом, ни бюджетом Иркутской области.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22.03.2019 </w:t>
      </w:r>
      <w:r w:rsidRPr="00C739E5">
        <w:rPr>
          <w:rFonts w:ascii="Palatino Linotype" w:hAnsi="Palatino Linotype"/>
          <w:color w:val="000000"/>
          <w:sz w:val="21"/>
          <w:szCs w:val="21"/>
        </w:rPr>
        <w:t xml:space="preserve">Проведена экспертиза проекта решения Думы о внесении изменений в положение об оплате труда муниципальных служащих муниципального образования. По результатам экспертизы указывалось, что неправильно произведен расчет потребности, поскольку проектом решения предусматривались другие размеры ЕДП. Также отмечалось, что в нарушение части 2 ст. 83 БК РФ источником дополнительных поступлений по </w:t>
      </w:r>
      <w:r w:rsidRPr="00C739E5">
        <w:rPr>
          <w:rFonts w:ascii="Palatino Linotype" w:hAnsi="Palatino Linotype"/>
          <w:color w:val="000000"/>
          <w:sz w:val="21"/>
          <w:szCs w:val="21"/>
        </w:rPr>
        <w:lastRenderedPageBreak/>
        <w:t>увеличению расходных обязательств указаны субвенции на выплату заработной платы, которые не предусмотрены ни местным бюджетом, ни бюджетом Иркутской области.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22.03.2019 </w:t>
      </w:r>
      <w:r w:rsidRPr="00C739E5">
        <w:rPr>
          <w:rFonts w:ascii="Palatino Linotype" w:hAnsi="Palatino Linotype"/>
          <w:color w:val="000000"/>
          <w:sz w:val="21"/>
          <w:szCs w:val="21"/>
        </w:rPr>
        <w:t>Проведена экспертиза проекта постановления администрации муниципального образования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В ходе экспертизы установлено, что в нарушение части 2 ст. 83 БК РФ источником дополнительных поступлений по увеличению расходных обязательств указаны субвенции на выплату заработной платы, которые не предусмотрены ни местным бюджетом, ни бюджетом Иркутской области.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03.04.2019 </w:t>
      </w:r>
      <w:r w:rsidRPr="00C739E5">
        <w:rPr>
          <w:rFonts w:ascii="Palatino Linotype" w:hAnsi="Palatino Linotype"/>
          <w:color w:val="000000"/>
          <w:sz w:val="21"/>
          <w:szCs w:val="21"/>
        </w:rPr>
        <w:t>Проведена экспертиза проекта решения Думы о внесении изменений в Положение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постоянной основе. Замечаний к проекту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03.04.2019 </w:t>
      </w:r>
      <w:r w:rsidRPr="00C739E5">
        <w:rPr>
          <w:rFonts w:ascii="Palatino Linotype" w:hAnsi="Palatino Linotype"/>
          <w:color w:val="000000"/>
          <w:sz w:val="21"/>
          <w:szCs w:val="21"/>
        </w:rPr>
        <w:t>Проведена экспертиза проекта решения Думы о внесении изменений в решение Думы об утверждении должностных окладов и ежемесячного денежного поощрения, положения об оплате труда муниципальных служащих муниципального образования. Замечаний к проекту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05.04.2019 </w:t>
      </w:r>
      <w:r w:rsidRPr="00C739E5">
        <w:rPr>
          <w:rFonts w:ascii="Palatino Linotype" w:hAnsi="Palatino Linotype"/>
          <w:color w:val="000000"/>
          <w:sz w:val="21"/>
          <w:szCs w:val="21"/>
        </w:rPr>
        <w:t>Проведена экспертиза проекта решения Думы о внесении изменений в решение Думы об утверждении положения об оплате труда муниципальных служащих. Замечаний к проекту не установлено.</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06.05.2019 </w:t>
      </w:r>
      <w:r w:rsidRPr="00C739E5">
        <w:rPr>
          <w:rFonts w:ascii="Palatino Linotype" w:hAnsi="Palatino Linotype"/>
          <w:color w:val="000000"/>
          <w:sz w:val="21"/>
          <w:szCs w:val="21"/>
        </w:rPr>
        <w:t>Проведена экспертиза проекта решения Думы «О внесении изменений в Положение «Об оплате труда главы администрации муниципального образования. В итоговом заключении отмечалось, что в 2019 году оплата труда не может превысить установленный норматив в размере 449126 рублей.</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06.05.2019 </w:t>
      </w:r>
      <w:r w:rsidRPr="00C739E5">
        <w:rPr>
          <w:rFonts w:ascii="Palatino Linotype" w:hAnsi="Palatino Linotype"/>
          <w:color w:val="000000"/>
          <w:sz w:val="21"/>
          <w:szCs w:val="21"/>
        </w:rPr>
        <w:t>Проведена экспертиза проекта решения Думы «О внесении изменений в решение Думы «Об утверждении Положения об оплате труда муниципальных служащих муниципального образования». В итоговом заключении отмечалось, что в 2019 году оплата труда муниципального служащего не может превысить установленный норматив 80% от оплаты труда главы 359300,8 рублей.</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07.05.2019 </w:t>
      </w:r>
      <w:r w:rsidRPr="00C739E5">
        <w:rPr>
          <w:rFonts w:ascii="Palatino Linotype" w:hAnsi="Palatino Linotype"/>
          <w:color w:val="000000"/>
          <w:sz w:val="21"/>
          <w:szCs w:val="21"/>
        </w:rPr>
        <w:t>Проведена экспертиза проекта решения Думы о внесении изменений в положение «Об оплате труда главы администрации муниципального образования, осуществляющего свои полномочия на постоянной основе». Указывалось на необходимость исключить из текста решения слово «районной».</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07.05.2019 </w:t>
      </w:r>
      <w:r w:rsidRPr="00C739E5">
        <w:rPr>
          <w:rFonts w:ascii="Palatino Linotype" w:hAnsi="Palatino Linotype"/>
          <w:color w:val="000000"/>
          <w:sz w:val="21"/>
          <w:szCs w:val="21"/>
        </w:rPr>
        <w:t>Проведена экспертиза проекта решения Думы о внесении изменений в Положение по оплате труда муниципальных служащих муниципального образования. Предлагалось уточнить должностной оклад в пункте 1.2 проекта. В проекте штатного расписания неверно рассчитана надбавка за выслугу лет по должности муниципальной службы ведущий специалист по соц.вопросам.</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07.06.2019 </w:t>
      </w:r>
      <w:r w:rsidRPr="00C739E5">
        <w:rPr>
          <w:rFonts w:ascii="Palatino Linotype" w:hAnsi="Palatino Linotype"/>
          <w:color w:val="000000"/>
          <w:sz w:val="21"/>
          <w:szCs w:val="21"/>
        </w:rPr>
        <w:t>Проведена экспертиза проекта штатного расписания.  Установлено, что увеличение штатной численности планируется в пределах норматива штатной численности. В проекте штатного расписания уточнить размер надбавки за работу в южных района Иркутской области. Также отмечалось уточнить информацию в финансово-экономическом обосновании.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lastRenderedPageBreak/>
        <w:t>11.06.2019 </w:t>
      </w:r>
      <w:r w:rsidRPr="00C739E5">
        <w:rPr>
          <w:rFonts w:ascii="Palatino Linotype" w:hAnsi="Palatino Linotype"/>
          <w:color w:val="000000"/>
          <w:sz w:val="21"/>
          <w:szCs w:val="21"/>
        </w:rPr>
        <w:t>Проведена экспертиза проекта штатного расписания. Замечаний в ходе проведения экспертизы не установлено. Замечания, изложенные в заключении от 07.06.2019г. устранены.</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center"/>
        <w:rPr>
          <w:rFonts w:ascii="Palatino Linotype" w:hAnsi="Palatino Linotype"/>
          <w:color w:val="000000"/>
          <w:sz w:val="21"/>
          <w:szCs w:val="21"/>
        </w:rPr>
      </w:pPr>
      <w:r w:rsidRPr="00C739E5">
        <w:rPr>
          <w:rFonts w:ascii="Palatino Linotype" w:hAnsi="Palatino Linotype"/>
          <w:i/>
          <w:iCs/>
          <w:color w:val="000000"/>
          <w:sz w:val="21"/>
          <w:szCs w:val="21"/>
        </w:rPr>
        <w:t>Экспертиза проектов муниципальных программ</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Проекты на экспертизу по настоящий момент не поступали.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i/>
          <w:iCs/>
          <w:color w:val="000000"/>
          <w:sz w:val="21"/>
          <w:szCs w:val="21"/>
        </w:rPr>
        <w:t>Внешняя проверка годового отчета об исполнении бюджета муниципального образования за 2018 год и подготовка заключения на годовой отчет об исполнении бюджета</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25.02.2019 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13 Приказа Минфина РФ от 01.03.2016г. № 15н. Установлены нарушения п. 3 ст. 219 Бюджетного кодекса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26.02.2019 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6, 23, 49, 50, 158 Приказа Минфина России от 28.12.2010г. № 191н. Установлены нарушения ст. 34, ст. 38 (оплата пени должна быть проведена по КВР 853 – нецелевое использование бюджетных средств),  п. 3 ст. 219 Бюджетного кодекса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05.03.2019 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6, 72.1, 152 Приказа Минфина России от 28.12.2010г. № 191н, п. 38, 140 Приказа Минфина РФ № 162н, п. 13 Приказа Минфина РФ от 01.03.2016г. № 15н. Установлены нарушения п. 3 ст. 9 Федерального закона от 06.12.2011г. № 402-ФЗ «О бухгалтерском учете». Не представлен отчет о дорожном фонде муниципального образования в нарушение Положения о дорожном фонде.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01.04.2019 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25, 32, 44, 46, 49, 161, 163, 170.2 Приказа Минфина России от 28.12.2010г. № 191н, п. 13 Приказа Минфина РФ от 01.03.2016г. № 15н. Не представлен отсеет о дорожном фонде муниципального образования в нарушение Положения о дорожном фонде.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03.04.2019 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72.1, 162, 164 Приказа Минфина России от 28.12.2010г. № 191н, п. 13 Приказа Минфина РФ от 01.03.2016г. № 15н. Установлены нарушения п.3 ст. 9 Федерального закона № 402-ФЗ, ст. 34 БК РФ. Установлены отдельные замечания к приложениям проекта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24.04.2019 </w:t>
      </w:r>
      <w:r w:rsidRPr="00C739E5">
        <w:rPr>
          <w:rFonts w:ascii="Palatino Linotype" w:hAnsi="Palatino Linotype"/>
          <w:color w:val="000000"/>
          <w:sz w:val="21"/>
          <w:szCs w:val="21"/>
        </w:rPr>
        <w:t xml:space="preserve">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30, 31, 49, 72.1, 164, 170.2, 173.1, 174 Приказа Минфина России от 28.12.2010г. № 191н, п. 140 Приказа Минфина России № 162н. Установлены нарушения п. 1, 3 ст. 9 </w:t>
      </w:r>
      <w:r w:rsidRPr="00C739E5">
        <w:rPr>
          <w:rFonts w:ascii="Palatino Linotype" w:hAnsi="Palatino Linotype"/>
          <w:color w:val="000000"/>
          <w:sz w:val="21"/>
          <w:szCs w:val="21"/>
        </w:rPr>
        <w:lastRenderedPageBreak/>
        <w:t>Федерального закона № 402-ФЗ. Установлены отдельные замечания к приложениям проекта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24.04.2019 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70, 72.1, 166 Приказа Минфина России от 28.12.2010г. № 191н. Установлены нарушения ст. 9, ст. 11 Федерального закона № 402-ФЗ, ст. 34 БК РФ. Установлены отдельные замечания к приложениям проекта решения и пояснительной записке к проекту решения.</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25.04.2019 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п.140 Приказа Минфина России № 162н, п. 160, 163, 164, 170.2 Приказа Минфина России № 191н. Установлены нарушения ст. 9, ст. 11 Федерального закона № 402-ФЗ, ст. 34, 179.4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25.04.2019 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6, 11.1, 54, 72.1 Приказа Минфина России № 191н, п. 38 Приказа Минфина Росси № 162н.  Установлены нарушения ст. 9, ст. 11 Федерального закона № 402-ФЗ, ст. 34, 179.4, 219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29.04.2019 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несоответствия отдельных показателей.  Установлены нарушения ст. 34, 38, 219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30.04.2019 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59, 59.1, 72.1, 150, 159, 167 Приказа Минфина России № 191н.  Установлены нарушения ст. 9 Федерального закона № 402-ФЗ, ст. 34, 179.4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08.05.2019 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 Установлены замечания к отдельным формам годовой отчетности в части нарушения п. 140 Приказа Минфина РФ №162н, п. 72.1, 140, 163, 167 Приказа Минфина РФ № 191н, п. 10 Приказа Минфина РФ № 15н.  Установлены нарушения ст. 34, 179.4, 219 БК РФ.</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14.05.2019 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7, 54, 70, 71, 157, 159, 167, 170.2 Приказа Минфина РФ № 191н, п. 139, 140, 141 Приказа Минфина РФ №162н. Установлены нарушения ст. 9 Федерального закона № 402-ФЗ.</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27.12.2019 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пп. 6, 7, 55, 70, 162, 163 Инструкции № 191н, нарушение п. 1 ст. 9, п.3 ст. 10, ст. 11  Федерального закона № 402-ФЗ. Также установлены несоответствия между отдельными формами отчетности.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lastRenderedPageBreak/>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i/>
          <w:iCs/>
          <w:color w:val="000000"/>
          <w:sz w:val="21"/>
          <w:szCs w:val="21"/>
        </w:rPr>
        <w:t>Обследование достоверности, полноты и соответствия нормативным требованиям составления и представления отчета об исполнении районного бюджета и  бюджетов муниципальных образований района за 1 квартал, полугодие, 9 месяцев</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15.05.2019</w:t>
      </w:r>
      <w:r w:rsidRPr="00C739E5">
        <w:rPr>
          <w:rFonts w:ascii="Palatino Linotype" w:hAnsi="Palatino Linotype"/>
          <w:color w:val="000000"/>
          <w:sz w:val="21"/>
          <w:szCs w:val="21"/>
        </w:rPr>
        <w:t> Проведено обследование достоверности, полноты и соответствия нормативным требованиям составления и представления отчета об исполнении бюджета за 1 квартал 2019 года. Установлены замечания к показателям отдельных форм отчетности.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04.09.2019 </w:t>
      </w:r>
      <w:r w:rsidRPr="00C739E5">
        <w:rPr>
          <w:rFonts w:ascii="Palatino Linotype" w:hAnsi="Palatino Linotype"/>
          <w:color w:val="000000"/>
          <w:sz w:val="21"/>
          <w:szCs w:val="21"/>
        </w:rPr>
        <w:t>Проведено обследование достоверности, полноты и соответствия нормативным требованиям составления и представления отчета об исполнении бюджета за 1 полугодие 2019 года. Установлены замечания к отдельным показателям отдельных форм отчетности.</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09.12.2019 </w:t>
      </w:r>
      <w:r w:rsidRPr="00C739E5">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2018 год» и внешняя проверка отчета об исполнении бюджета. Установлены замечания к отдельным формам годовой отчетности в части нарушения п. 150.2 Инструкции № 191н, а также несоответствие отдельных показателей между формами отчетности, решению о бюджете.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b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i/>
          <w:iCs/>
          <w:color w:val="000000"/>
          <w:sz w:val="21"/>
          <w:szCs w:val="21"/>
        </w:rPr>
        <w:t>Взаимодействие с прокуратурой,  с правоохранительными органами по выявлению и пресечению правонарушений в финансово-бюджетной сфере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30.04.2019</w:t>
      </w:r>
      <w:r w:rsidRPr="00C739E5">
        <w:rPr>
          <w:rFonts w:ascii="Palatino Linotype" w:hAnsi="Palatino Linotype"/>
          <w:color w:val="000000"/>
          <w:sz w:val="21"/>
          <w:szCs w:val="21"/>
        </w:rPr>
        <w:t> Поступило требование прокуратуры района о привлечении специалиста КСО для участия в проверке.</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08.05.2019</w:t>
      </w:r>
      <w:r w:rsidRPr="00C739E5">
        <w:rPr>
          <w:rFonts w:ascii="Palatino Linotype" w:hAnsi="Palatino Linotype"/>
          <w:color w:val="000000"/>
          <w:sz w:val="21"/>
          <w:szCs w:val="21"/>
        </w:rPr>
        <w:t> Подготовлено итоговое заключение по совместной проверке, направлено в прокуратуру района.</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color w:val="000000"/>
          <w:sz w:val="21"/>
          <w:szCs w:val="21"/>
        </w:rPr>
        <w:t>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22.05.2019 </w:t>
      </w:r>
      <w:r w:rsidRPr="00C739E5">
        <w:rPr>
          <w:rFonts w:ascii="Palatino Linotype" w:hAnsi="Palatino Linotype"/>
          <w:color w:val="000000"/>
          <w:sz w:val="21"/>
          <w:szCs w:val="21"/>
        </w:rPr>
        <w:t>Поступило требование прокуратуры района о привлечении специалиста КСО для участия в проверке. </w:t>
      </w:r>
    </w:p>
    <w:p w:rsidR="00C739E5" w:rsidRPr="00C739E5" w:rsidRDefault="00C739E5" w:rsidP="00C739E5">
      <w:pPr>
        <w:shd w:val="clear" w:color="auto" w:fill="F3F5FC"/>
        <w:spacing w:line="315" w:lineRule="atLeast"/>
        <w:ind w:left="105" w:right="105" w:firstLine="375"/>
        <w:jc w:val="both"/>
        <w:rPr>
          <w:rFonts w:ascii="Palatino Linotype" w:hAnsi="Palatino Linotype"/>
          <w:color w:val="000000"/>
          <w:sz w:val="21"/>
          <w:szCs w:val="21"/>
        </w:rPr>
      </w:pPr>
      <w:r w:rsidRPr="00C739E5">
        <w:rPr>
          <w:rFonts w:ascii="Palatino Linotype" w:hAnsi="Palatino Linotype"/>
          <w:b/>
          <w:bCs/>
          <w:color w:val="000000"/>
          <w:sz w:val="21"/>
          <w:szCs w:val="21"/>
        </w:rPr>
        <w:t>24.05.2019 </w:t>
      </w:r>
      <w:r w:rsidRPr="00C739E5">
        <w:rPr>
          <w:rFonts w:ascii="Palatino Linotype" w:hAnsi="Palatino Linotype"/>
          <w:color w:val="000000"/>
          <w:sz w:val="21"/>
          <w:szCs w:val="21"/>
        </w:rPr>
        <w:t>Подготовлено итоговое заключение по совместной проверке, направлено в прокуратуру района.</w:t>
      </w:r>
    </w:p>
    <w:p w:rsidR="003E0016" w:rsidRPr="00C739E5" w:rsidRDefault="003E0016" w:rsidP="00C739E5">
      <w:bookmarkStart w:id="0" w:name="_GoBack"/>
      <w:bookmarkEnd w:id="0"/>
    </w:p>
    <w:sectPr w:rsidR="003E0016" w:rsidRPr="00C739E5"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E1509"/>
    <w:rsid w:val="002E3581"/>
    <w:rsid w:val="003C7988"/>
    <w:rsid w:val="003E0016"/>
    <w:rsid w:val="003F5514"/>
    <w:rsid w:val="00426B7F"/>
    <w:rsid w:val="00525A60"/>
    <w:rsid w:val="005404D5"/>
    <w:rsid w:val="00566A93"/>
    <w:rsid w:val="00603816"/>
    <w:rsid w:val="00683D8C"/>
    <w:rsid w:val="006F70CC"/>
    <w:rsid w:val="00797E06"/>
    <w:rsid w:val="00AB3B44"/>
    <w:rsid w:val="00B30CFA"/>
    <w:rsid w:val="00C739E5"/>
    <w:rsid w:val="00D72AA2"/>
    <w:rsid w:val="00F27B7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20565547">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256674147">
      <w:bodyDiv w:val="1"/>
      <w:marLeft w:val="0"/>
      <w:marRight w:val="0"/>
      <w:marTop w:val="0"/>
      <w:marBottom w:val="0"/>
      <w:divBdr>
        <w:top w:val="none" w:sz="0" w:space="0" w:color="auto"/>
        <w:left w:val="none" w:sz="0" w:space="0" w:color="auto"/>
        <w:bottom w:val="none" w:sz="0" w:space="0" w:color="auto"/>
        <w:right w:val="none" w:sz="0" w:space="0" w:color="auto"/>
      </w:divBdr>
    </w:div>
    <w:div w:id="1371959548">
      <w:bodyDiv w:val="1"/>
      <w:marLeft w:val="0"/>
      <w:marRight w:val="0"/>
      <w:marTop w:val="0"/>
      <w:marBottom w:val="0"/>
      <w:divBdr>
        <w:top w:val="none" w:sz="0" w:space="0" w:color="auto"/>
        <w:left w:val="none" w:sz="0" w:space="0" w:color="auto"/>
        <w:bottom w:val="none" w:sz="0" w:space="0" w:color="auto"/>
        <w:right w:val="none" w:sz="0" w:space="0" w:color="auto"/>
      </w:divBdr>
    </w:div>
    <w:div w:id="1383753840">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594046314">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 w:id="2118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4166</Words>
  <Characters>23752</Characters>
  <Application>Microsoft Office Word</Application>
  <DocSecurity>0</DocSecurity>
  <Lines>197</Lines>
  <Paragraphs>55</Paragraphs>
  <ScaleCrop>false</ScaleCrop>
  <Company>diakov.net</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23</cp:revision>
  <dcterms:created xsi:type="dcterms:W3CDTF">2021-08-10T02:26:00Z</dcterms:created>
  <dcterms:modified xsi:type="dcterms:W3CDTF">2021-08-10T02:57:00Z</dcterms:modified>
</cp:coreProperties>
</file>